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snapToGrid w:val="0"/>
        <w:spacing w:line="360" w:lineRule="auto"/>
        <w:jc w:val="center"/>
        <w:rPr>
          <w:rFonts w:hint="default" w:ascii="Times New Roman" w:hAnsi="Times New Roman" w:eastAsia="华文中宋" w:cs="Times New Roman"/>
          <w:b/>
          <w:sz w:val="32"/>
          <w:szCs w:val="32"/>
        </w:rPr>
      </w:pPr>
      <w:bookmarkStart w:id="0" w:name="_GoBack"/>
      <w:r>
        <w:rPr>
          <w:rFonts w:hint="default" w:ascii="Times New Roman" w:hAnsi="Times New Roman" w:eastAsia="华文中宋" w:cs="Times New Roman"/>
          <w:b/>
          <w:sz w:val="32"/>
          <w:szCs w:val="32"/>
        </w:rPr>
        <w:t>上海市20</w:t>
      </w:r>
      <w:r>
        <w:rPr>
          <w:rFonts w:hint="eastAsia" w:ascii="Times New Roman" w:hAnsi="Times New Roman" w:eastAsia="华文中宋" w:cs="Times New Roman"/>
          <w:b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华文中宋" w:cs="Times New Roman"/>
          <w:b/>
          <w:sz w:val="32"/>
          <w:szCs w:val="32"/>
        </w:rPr>
        <w:t>年度光伏发电规模实施方案</w:t>
      </w:r>
    </w:p>
    <w:bookmarkEnd w:id="0"/>
    <w:p>
      <w:pPr>
        <w:snapToGrid w:val="0"/>
        <w:spacing w:line="400" w:lineRule="exact"/>
        <w:jc w:val="right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单位：兆瓦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84"/>
        <w:gridCol w:w="1843"/>
        <w:gridCol w:w="5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1" w:hRule="exact"/>
          <w:tblHeader/>
          <w:jc w:val="center"/>
        </w:trPr>
        <w:tc>
          <w:tcPr>
            <w:tcW w:w="1084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  <w:lang w:eastAsia="zh-TW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  <w:lang w:eastAsia="zh-TW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区县</w:t>
            </w:r>
          </w:p>
        </w:tc>
        <w:tc>
          <w:tcPr>
            <w:tcW w:w="585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年新增光伏发电建设规模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4" w:hRule="exact"/>
          <w:tblHeader/>
          <w:jc w:val="center"/>
        </w:trPr>
        <w:tc>
          <w:tcPr>
            <w:tcW w:w="10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浦东新区</w:t>
            </w:r>
          </w:p>
        </w:tc>
        <w:tc>
          <w:tcPr>
            <w:tcW w:w="58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25.0000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黄浦区</w:t>
            </w:r>
          </w:p>
        </w:tc>
        <w:tc>
          <w:tcPr>
            <w:tcW w:w="58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徐汇区</w:t>
            </w:r>
          </w:p>
        </w:tc>
        <w:tc>
          <w:tcPr>
            <w:tcW w:w="58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长宁区</w:t>
            </w:r>
          </w:p>
        </w:tc>
        <w:tc>
          <w:tcPr>
            <w:tcW w:w="58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静安区</w:t>
            </w:r>
          </w:p>
        </w:tc>
        <w:tc>
          <w:tcPr>
            <w:tcW w:w="58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普陀区</w:t>
            </w:r>
          </w:p>
        </w:tc>
        <w:tc>
          <w:tcPr>
            <w:tcW w:w="58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虹口区</w:t>
            </w:r>
          </w:p>
        </w:tc>
        <w:tc>
          <w:tcPr>
            <w:tcW w:w="58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杨浦区</w:t>
            </w:r>
          </w:p>
        </w:tc>
        <w:tc>
          <w:tcPr>
            <w:tcW w:w="58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闵行区</w:t>
            </w:r>
          </w:p>
        </w:tc>
        <w:tc>
          <w:tcPr>
            <w:tcW w:w="58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宝山区</w:t>
            </w:r>
          </w:p>
        </w:tc>
        <w:tc>
          <w:tcPr>
            <w:tcW w:w="58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9.7454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嘉定区</w:t>
            </w:r>
          </w:p>
        </w:tc>
        <w:tc>
          <w:tcPr>
            <w:tcW w:w="58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金山区</w:t>
            </w:r>
          </w:p>
        </w:tc>
        <w:tc>
          <w:tcPr>
            <w:tcW w:w="58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松江区</w:t>
            </w:r>
          </w:p>
        </w:tc>
        <w:tc>
          <w:tcPr>
            <w:tcW w:w="58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青浦区</w:t>
            </w:r>
          </w:p>
        </w:tc>
        <w:tc>
          <w:tcPr>
            <w:tcW w:w="58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奉贤区</w:t>
            </w:r>
          </w:p>
        </w:tc>
        <w:tc>
          <w:tcPr>
            <w:tcW w:w="58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17.0000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崇明区</w:t>
            </w:r>
          </w:p>
        </w:tc>
        <w:tc>
          <w:tcPr>
            <w:tcW w:w="58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110.9363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2927" w:type="dxa"/>
            <w:gridSpan w:val="2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58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215.3657</w:t>
            </w:r>
          </w:p>
        </w:tc>
      </w:tr>
    </w:tbl>
    <w:p>
      <w:pPr>
        <w:widowControl/>
        <w:tabs>
          <w:tab w:val="left" w:pos="2100"/>
        </w:tabs>
        <w:spacing w:before="289" w:beforeLines="50" w:line="280" w:lineRule="exact"/>
        <w:jc w:val="left"/>
        <w:rPr>
          <w:rFonts w:hint="default" w:ascii="Times New Roman" w:hAnsi="Times New Roman" w:eastAsia="楷体_GB2312" w:cs="Times New Roman"/>
          <w:bCs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24"/>
          <w:szCs w:val="24"/>
        </w:rPr>
        <w:t>备注：</w:t>
      </w:r>
      <w:r>
        <w:rPr>
          <w:rFonts w:hint="default" w:ascii="Times New Roman" w:hAnsi="Times New Roman" w:eastAsia="楷体_GB2312" w:cs="Times New Roman"/>
          <w:bCs/>
          <w:color w:val="000000"/>
          <w:kern w:val="0"/>
          <w:sz w:val="24"/>
          <w:szCs w:val="24"/>
        </w:rPr>
        <w:t>各区在满足消纳条件的前提下，备案总规模不受实施方案的限制。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C08DF"/>
    <w:rsid w:val="40BC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2021-01-26T08:24:00Z</dcterms:created>
  <dc:creator>Administrator</dc:creator>
  <cp:lastModifiedBy>Administrator</cp:lastModifiedBy>
  <dcterms:modified xsi:type="dcterms:W3CDTF">2021-01-26T08:24:30Z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