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3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napToGrid/>
          <w:spacing w:val="0"/>
          <w:kern w:val="21"/>
          <w:sz w:val="32"/>
          <w:szCs w:val="32"/>
          <w:highlight w:val="none"/>
          <w:lang w:val="en-US" w:eastAsia="zh-CN"/>
        </w:rPr>
        <w:t>2</w:t>
      </w:r>
    </w:p>
    <w:p w14:paraId="4F35AF6D">
      <w:pPr>
        <w:autoSpaceDE w:val="0"/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E8D148A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t>湖南省零碳工厂建设方案</w:t>
      </w:r>
    </w:p>
    <w:p w14:paraId="71475CDF">
      <w:pPr>
        <w:autoSpaceDE w:val="0"/>
        <w:spacing w:line="600" w:lineRule="exact"/>
        <w:jc w:val="center"/>
        <w:rPr>
          <w:rFonts w:hint="default" w:ascii="Times New Roman" w:hAnsi="Times New Roman" w:eastAsia="楷体" w:cs="Times New Roman"/>
          <w:sz w:val="36"/>
          <w:szCs w:val="36"/>
          <w:highlight w:val="none"/>
          <w:lang w:eastAsia="zh-CN" w:bidi="ar-SA"/>
        </w:rPr>
      </w:pPr>
      <w:r>
        <w:rPr>
          <w:rFonts w:hint="default" w:ascii="Times New Roman" w:hAnsi="Times New Roman" w:eastAsia="楷体" w:cs="Times New Roman"/>
          <w:sz w:val="36"/>
          <w:szCs w:val="36"/>
          <w:highlight w:val="none"/>
          <w:lang w:eastAsia="zh-CN" w:bidi="ar-SA"/>
        </w:rPr>
        <w:t>（模板）</w:t>
      </w:r>
    </w:p>
    <w:p w14:paraId="506E25D2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79F9F6C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133B4191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9B68EE4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124FFF8E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26AE4DB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6D09815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4A1738A4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</w:t>
      </w:r>
    </w:p>
    <w:p w14:paraId="1C03E9FE">
      <w:pPr>
        <w:autoSpaceDE w:val="0"/>
        <w:spacing w:line="600" w:lineRule="exact"/>
        <w:ind w:firstLine="2080" w:firstLineChars="65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单位（盖章）：</w:t>
      </w:r>
    </w:p>
    <w:p w14:paraId="250D0456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 系  人 ：</w:t>
      </w:r>
    </w:p>
    <w:p w14:paraId="26139296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系 电 话：</w:t>
      </w:r>
    </w:p>
    <w:p w14:paraId="1782C371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3DA64368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297A76A1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13C17991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2AC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年    月    日</w:t>
      </w:r>
    </w:p>
    <w:p w14:paraId="2A9F1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基本信息表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453"/>
        <w:gridCol w:w="1644"/>
        <w:gridCol w:w="217"/>
        <w:gridCol w:w="642"/>
        <w:gridCol w:w="768"/>
        <w:gridCol w:w="2"/>
        <w:gridCol w:w="967"/>
        <w:gridCol w:w="2306"/>
      </w:tblGrid>
      <w:tr w14:paraId="1F486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2EF1E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一、建设单位基本情况</w:t>
            </w:r>
          </w:p>
        </w:tc>
      </w:tr>
      <w:tr w14:paraId="66D9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1ABCC8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A33FE8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8823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C28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D45F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4E92675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E212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CFC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05C740B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□国企 □民营 □三资 □其他（请注明）</w:t>
            </w:r>
          </w:p>
        </w:tc>
      </w:tr>
      <w:tr w14:paraId="47CE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3143D9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F3BBEA8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（根据GB/T 4754《国民经济行业分类》填写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4位数代码及名称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C712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3AA97A9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统一社会</w:t>
            </w:r>
          </w:p>
          <w:p w14:paraId="1121050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9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CC04C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34F25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  <w:lang w:eastAsia="zh-CN"/>
              </w:rPr>
              <w:t>成立时间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8EE19C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E39A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7932B1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4AC988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1FF0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0AF8B1C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要产品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26CE92F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67F7F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825151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法定代表人</w:t>
            </w:r>
          </w:p>
        </w:tc>
        <w:tc>
          <w:tcPr>
            <w:tcW w:w="29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2B319F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4C95A6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法</w:t>
            </w:r>
            <w:r>
              <w:rPr>
                <w:rFonts w:hint="eastAsia" w:ascii="Times New Roman" w:hAnsi="Times New Roman" w:eastAsia="仿宋" w:cs="Times New Roman"/>
                <w:szCs w:val="24"/>
                <w:highlight w:val="none"/>
                <w:lang w:eastAsia="zh-CN"/>
              </w:rPr>
              <w:t>定</w:t>
            </w: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代表人</w:t>
            </w:r>
          </w:p>
          <w:p w14:paraId="75DBF79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电话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0FD420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41B9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4D2EEEE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联系人</w:t>
            </w:r>
          </w:p>
        </w:tc>
        <w:tc>
          <w:tcPr>
            <w:tcW w:w="29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1D9E5A"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C443A6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</w:rPr>
              <w:t>联系电话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CA228F5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81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266208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highlight w:val="none"/>
                <w:lang w:eastAsia="zh-CN"/>
              </w:rPr>
              <w:t>获评省级及以上绿色工厂时间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26468BC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0B3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7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57A526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企业近三年是否发生过较大及以上安全、环保、质量事故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72E660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□是   □否</w:t>
            </w:r>
          </w:p>
        </w:tc>
      </w:tr>
      <w:tr w14:paraId="67C7B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96F26B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年份</w:t>
            </w:r>
          </w:p>
        </w:tc>
        <w:tc>
          <w:tcPr>
            <w:tcW w:w="2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2D179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09CCE5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53275F50"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202X年</w:t>
            </w:r>
          </w:p>
        </w:tc>
      </w:tr>
      <w:tr w14:paraId="0A263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26D4500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近3年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主营业务</w:t>
            </w:r>
          </w:p>
          <w:p w14:paraId="5BEFC60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收入（万元）</w:t>
            </w:r>
          </w:p>
        </w:tc>
        <w:tc>
          <w:tcPr>
            <w:tcW w:w="2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D67EE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E2F8FA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C0BA7A8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 w14:paraId="6B33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705F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近3年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能源消费</w:t>
            </w:r>
          </w:p>
          <w:p w14:paraId="5C71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总量（tce）</w:t>
            </w:r>
          </w:p>
        </w:tc>
        <w:tc>
          <w:tcPr>
            <w:tcW w:w="2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9F14E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387D7F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8D21F2E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</w:tr>
      <w:tr w14:paraId="18921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6DB0E287">
            <w:pPr>
              <w:pStyle w:val="6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近3年碳排放</w:t>
            </w:r>
          </w:p>
          <w:p w14:paraId="30320E89">
            <w:pPr>
              <w:pStyle w:val="6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量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tCO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e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3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F240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79CAC5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 w14:paraId="756DDC2D">
            <w:pPr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</w:tc>
      </w:tr>
      <w:tr w14:paraId="2BE7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79FE5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二、建设目标</w:t>
            </w:r>
          </w:p>
        </w:tc>
      </w:tr>
      <w:tr w14:paraId="6D042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48C657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基准年</w:t>
            </w:r>
          </w:p>
        </w:tc>
        <w:tc>
          <w:tcPr>
            <w:tcW w:w="20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6F07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B1C51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建设期</w:t>
            </w:r>
          </w:p>
        </w:tc>
        <w:tc>
          <w:tcPr>
            <w:tcW w:w="3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A9521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202X年X月至202X年X月</w:t>
            </w:r>
          </w:p>
        </w:tc>
      </w:tr>
      <w:tr w14:paraId="4907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1" w:type="dxa"/>
            <w:tcBorders>
              <w:tl2br w:val="nil"/>
              <w:tr2bl w:val="nil"/>
            </w:tcBorders>
            <w:noWrap w:val="0"/>
            <w:vAlign w:val="center"/>
          </w:tcPr>
          <w:p w14:paraId="123ACC3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方案总投资</w:t>
            </w:r>
          </w:p>
          <w:p w14:paraId="1EE0B14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699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5534A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584E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295C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0242C8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基准年</w:t>
            </w: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8271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建设目标</w:t>
            </w:r>
          </w:p>
        </w:tc>
      </w:tr>
      <w:tr w14:paraId="4553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53F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单位能耗碳排放（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tCO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e/tce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19263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99D90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7B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72D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可再生能源使用比例（%）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89869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01FF8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FF63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0F2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重点工业产品碳足迹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（注明单位）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C6E01A">
            <w:pPr>
              <w:widowControl/>
              <w:snapToGrid w:val="0"/>
              <w:spacing w:line="240" w:lineRule="auto"/>
              <w:ind w:firstLine="0" w:firstLineChars="0"/>
              <w:jc w:val="both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1：XX</w:t>
            </w:r>
          </w:p>
          <w:p w14:paraId="638DB45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9B0ED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180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75C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参照的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强制性能耗限额标准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名称、标准号</w:t>
            </w:r>
            <w:r>
              <w:rPr>
                <w:rFonts w:hint="eastAsia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</w:rPr>
              <w:t>能耗限额标准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1级（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</w:rPr>
              <w:t>先进值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  <w:lang w:val="en-US" w:eastAsia="zh-CN"/>
              </w:rPr>
              <w:t>能效标杆水平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100"/>
                <w:sz w:val="24"/>
                <w:szCs w:val="24"/>
                <w:highlight w:val="none"/>
              </w:rPr>
              <w:t>（注明单位）</w:t>
            </w:r>
          </w:p>
        </w:tc>
        <w:tc>
          <w:tcPr>
            <w:tcW w:w="654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0D28E4E">
            <w:pPr>
              <w:widowControl/>
              <w:snapToGrid w:val="0"/>
              <w:spacing w:line="240" w:lineRule="auto"/>
              <w:ind w:firstLine="0" w:firstLineChars="0"/>
              <w:jc w:val="both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1：《XXX》，XX</w:t>
            </w:r>
          </w:p>
          <w:p w14:paraId="4F1AE2C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</w:tr>
      <w:tr w14:paraId="7B0A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A180E"/>
        </w:tc>
        <w:tc>
          <w:tcPr>
            <w:tcW w:w="654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F4FC2E7"/>
        </w:tc>
      </w:tr>
      <w:tr w14:paraId="717E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07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单位产品综合能耗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（注明单位）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F414B9">
            <w:pPr>
              <w:widowControl/>
              <w:snapToGrid w:val="0"/>
              <w:spacing w:line="240" w:lineRule="auto"/>
              <w:ind w:firstLine="0" w:firstLineChars="0"/>
              <w:jc w:val="both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1：XX</w:t>
            </w:r>
          </w:p>
          <w:p w14:paraId="19F5BF7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D7E59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C87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C29EB"/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5F03BB"/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2538ED"/>
        </w:tc>
      </w:tr>
      <w:tr w14:paraId="5744F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13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参照的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节水型企业标准名称、标准号及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工业用水重复利用率要求</w:t>
            </w:r>
          </w:p>
        </w:tc>
        <w:tc>
          <w:tcPr>
            <w:tcW w:w="654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5D25DE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668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09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工业用水重复利用率（%）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BC447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D98A0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A7E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5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1A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/>
                <w:color w:val="000000"/>
                <w:spacing w:val="0"/>
                <w:kern w:val="21"/>
                <w:sz w:val="24"/>
                <w:szCs w:val="24"/>
                <w:highlight w:val="none"/>
                <w:u w:val="none"/>
                <w:lang w:val="en-US" w:eastAsia="zh-CN" w:bidi="ar"/>
              </w:rPr>
              <w:t>一般工业固体废物综合利用率（%）</w:t>
            </w:r>
          </w:p>
        </w:tc>
        <w:tc>
          <w:tcPr>
            <w:tcW w:w="32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8D168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B7580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4137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90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AB693A8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4"/>
                <w:highlight w:val="none"/>
              </w:rPr>
            </w:pPr>
          </w:p>
          <w:p w14:paraId="6B6AD19E">
            <w:pPr>
              <w:widowControl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4"/>
                <w:highlight w:val="none"/>
              </w:rPr>
              <w:t>材料真实性承诺:</w:t>
            </w:r>
          </w:p>
          <w:p w14:paraId="27E0FBEB">
            <w:pPr>
              <w:pStyle w:val="2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highlight w:val="none"/>
              </w:rPr>
            </w:pPr>
          </w:p>
          <w:p w14:paraId="34E05ED0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我单位郑重承诺：本次申报所提交的相关数据和信息均真实、有效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。企业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近三年无较大及以上安全、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环境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、质量事故以及偷漏税等违法违规行为，在国务院及有关部门相关督查工作中未发现存在严重问题，未被列入企业经营异常名录或严重违法失信名单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。</w:t>
            </w:r>
          </w:p>
          <w:p w14:paraId="71BF8D16">
            <w:pPr>
              <w:spacing w:line="320" w:lineRule="exact"/>
              <w:ind w:firstLine="3600" w:firstLineChars="15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  <w:p w14:paraId="4972C121">
            <w:pPr>
              <w:spacing w:line="320" w:lineRule="exact"/>
              <w:ind w:firstLine="3600" w:firstLineChars="15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单位负责人（签字）：</w:t>
            </w:r>
          </w:p>
          <w:p w14:paraId="76CA0755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（申报单位公章）</w:t>
            </w:r>
          </w:p>
          <w:p w14:paraId="10BC0990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</w:t>
            </w:r>
          </w:p>
          <w:p w14:paraId="7C6549C4">
            <w:pPr>
              <w:spacing w:line="320" w:lineRule="exact"/>
              <w:ind w:firstLine="42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  <w:p w14:paraId="5F5342C6">
            <w:pPr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年    月    日</w:t>
            </w:r>
          </w:p>
          <w:p w14:paraId="659BFD80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         </w:t>
            </w:r>
          </w:p>
        </w:tc>
      </w:tr>
    </w:tbl>
    <w:p w14:paraId="1494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0"/>
          <w:szCs w:val="40"/>
          <w:highlight w:val="none"/>
          <w:lang w:val="en-US" w:eastAsia="zh-CN"/>
        </w:rPr>
        <w:t>湖南省零碳工厂建设方案编制大纲</w:t>
      </w:r>
    </w:p>
    <w:p w14:paraId="3A8EC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1"/>
          <w:sz w:val="44"/>
          <w:szCs w:val="44"/>
          <w:highlight w:val="none"/>
          <w:lang w:val="en-US" w:eastAsia="zh-CN"/>
        </w:rPr>
      </w:pPr>
    </w:p>
    <w:p w14:paraId="25E48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工作基础</w:t>
      </w:r>
    </w:p>
    <w:p w14:paraId="0AAE4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实施主体概况。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简述企业的基本信息、发展现状、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生产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工艺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产品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产量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和生产经营状况等。</w:t>
      </w:r>
    </w:p>
    <w:p w14:paraId="2F1DD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能耗和碳排放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现状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简述企业近年能源结构、能源生产（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如有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）、能源消费、主要资源消耗等情况。分析企业碳排放总量和强度（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单位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能耗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碳排放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）变化情况、能源消费总量和强度变化情况、主要碳排放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设施和排放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源、碳排放趋势及影响因素等。</w:t>
      </w:r>
    </w:p>
    <w:p w14:paraId="142B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（三）绿色低碳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基础。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梳理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总结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近年来能源资源投入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产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结构调整、资源循环利用、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设备和产品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能效提升、绿色低碳科技创新、基础设施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和信息化管理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情况。</w:t>
      </w:r>
    </w:p>
    <w:p w14:paraId="61D1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二、建设目标</w:t>
      </w:r>
    </w:p>
    <w:p w14:paraId="4523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以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申报建设的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前一年度为基准年，对照湖南省零碳工厂建设指标体系，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计算基准年各项指标数值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确定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零碳工厂建设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期并提出建设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目标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明确零碳工厂建设的路线图、时间表以及不同阶段建设重点等。</w:t>
      </w:r>
    </w:p>
    <w:p w14:paraId="5924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重点任务</w:t>
      </w:r>
    </w:p>
    <w:p w14:paraId="7E8B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根据建设目标，结合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企业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发展实际，确定有关重点任务，从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工业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产品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zh-CN" w:bidi="ar"/>
        </w:rPr>
        <w:t>绿色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化设计、能源消费低碳化替代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能效水平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zh-CN" w:bidi="ar"/>
        </w:rPr>
        <w:t>先进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化应用、资源节约集约化利用、低碳工艺系统化升级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snapToGrid/>
          <w:color w:val="000000"/>
          <w:spacing w:val="0"/>
          <w:kern w:val="21"/>
          <w:sz w:val="32"/>
          <w:szCs w:val="32"/>
          <w:highlight w:val="none"/>
          <w:u w:val="none"/>
          <w:lang w:val="en-US" w:eastAsia="en-US" w:bidi="ar"/>
        </w:rPr>
        <w:t>生产管理数智化运营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等方面提出零碳工厂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建设内容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。</w:t>
      </w:r>
    </w:p>
    <w:p w14:paraId="7D4A4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四、重点项目及经济性分析</w:t>
      </w:r>
    </w:p>
    <w:p w14:paraId="19EB88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根据零碳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建设目标和重点任务，明确拟建设的重点项目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，阐述项目有关情况（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包括项目名称、投资规模、建设内容、建设期限、预期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节能降碳效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果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等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，分析项目实施对于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企业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存量和增量碳排放的影响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说明项目对零碳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建设的支撑作用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对项目实施的优先级进行排序。</w:t>
      </w:r>
    </w:p>
    <w:p w14:paraId="0FB8E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结合重点任务实施路径及重点项目内容，测算零碳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工厂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建设的成本投入和预期经济收益，对项目碳经济性（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每减排一吨碳需要付出的经济成本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）进行分析。</w:t>
      </w:r>
    </w:p>
    <w:p w14:paraId="6578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Lines="0" w:line="60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五、保障措施</w:t>
      </w:r>
    </w:p>
    <w:p w14:paraId="389D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提出保障零碳工厂建设工作顺利推进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的相关措施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。</w:t>
      </w:r>
    </w:p>
    <w:p w14:paraId="7DCA3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zh-CN"/>
        </w:rPr>
        <w:t>六、附件</w:t>
      </w:r>
    </w:p>
    <w:p w14:paraId="5C360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1.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基本条件证明材料：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申报企业营业执照副本、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获评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1"/>
          <w:sz w:val="32"/>
          <w:szCs w:val="32"/>
          <w:highlight w:val="none"/>
          <w:lang w:val="en-US" w:eastAsia="zh-CN" w:bidi="ar"/>
        </w:rPr>
        <w:t>省级及以上绿色工厂证明材料、企业近三年财务报表、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企业近三年（含成立不足三年）未发生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较大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及以上安全、环保、质量事故证明材料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、企业温室气体核算报告等。</w:t>
      </w:r>
    </w:p>
    <w:p w14:paraId="54AAA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2.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指标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计算过程及证明材料。</w:t>
      </w:r>
    </w:p>
    <w:p w14:paraId="1FA514DB"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lang w:bidi="ar-SA"/>
        </w:rPr>
      </w:pP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val="en-US" w:eastAsia="en-US"/>
        </w:rPr>
        <w:t>3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en-US"/>
        </w:rPr>
        <w:t>.工作成效证明材料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1"/>
          <w:sz w:val="32"/>
          <w:szCs w:val="32"/>
          <w:highlight w:val="none"/>
          <w:lang w:eastAsia="zh-CN"/>
        </w:rPr>
        <w:t>。</w:t>
      </w:r>
    </w:p>
    <w:p w14:paraId="5578DE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52D130C"/>
    <w:rsid w:val="352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Table Paragraph"/>
    <w:unhideWhenUsed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2026-01-14T08:58:00Z</dcterms:created>
  <dc:creator>杨祖德</dc:creator>
  <cp:lastModifiedBy>杨祖德</cp:lastModifiedBy>
  <dcterms:modified xsi:type="dcterms:W3CDTF">2026-01-14T08:59:10Z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C0C921C4FD9A4505A40A462608BFD34F_11</vt:lpwstr>
  </property>
</Properties>
</file>