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37A6A">
      <w:pPr>
        <w:keepNext w:val="0"/>
        <w:keepLines w:val="0"/>
        <w:pageBreakBefore w:val="0"/>
        <w:widowControl w:val="0"/>
        <w:numPr>
          <w:ilvl w:val="0"/>
          <w:numId w:val="0"/>
        </w:numPr>
        <w:suppressLineNumbers w:val="0"/>
        <w:kinsoku/>
        <w:wordWrap/>
        <w:overflowPunct/>
        <w:topLinePunct w:val="0"/>
        <w:autoSpaceDE/>
        <w:autoSpaceDN/>
        <w:bidi w:val="0"/>
        <w:spacing w:beforeLines="0" w:afterLines="0" w:line="560" w:lineRule="exact"/>
        <w:jc w:val="both"/>
        <w:textAlignment w:val="auto"/>
        <w:rPr>
          <w:rFonts w:hint="default" w:ascii="Times New Roman" w:hAnsi="Times New Roman" w:eastAsia="黑体" w:cs="Times New Roman"/>
          <w:snapToGrid/>
          <w:color w:val="000000"/>
          <w:spacing w:val="0"/>
          <w:kern w:val="21"/>
          <w:sz w:val="32"/>
          <w:szCs w:val="32"/>
          <w:highlight w:val="none"/>
          <w:lang w:val="en-US" w:eastAsia="zh-CN" w:bidi="ar"/>
        </w:rPr>
      </w:pPr>
      <w:r>
        <w:rPr>
          <w:rFonts w:hint="default" w:ascii="Times New Roman" w:hAnsi="Times New Roman" w:eastAsia="黑体" w:cs="Times New Roman"/>
          <w:snapToGrid/>
          <w:color w:val="000000"/>
          <w:spacing w:val="0"/>
          <w:kern w:val="21"/>
          <w:sz w:val="32"/>
          <w:szCs w:val="32"/>
          <w:highlight w:val="none"/>
          <w:lang w:val="en-US" w:eastAsia="zh-CN" w:bidi="ar"/>
        </w:rPr>
        <w:t>附件1</w:t>
      </w:r>
    </w:p>
    <w:p w14:paraId="3323597E">
      <w:pPr>
        <w:keepNext w:val="0"/>
        <w:keepLines w:val="0"/>
        <w:pageBreakBefore w:val="0"/>
        <w:widowControl w:val="0"/>
        <w:suppressLineNumbers w:val="0"/>
        <w:kinsoku/>
        <w:wordWrap/>
        <w:overflowPunct/>
        <w:topLinePunct w:val="0"/>
        <w:autoSpaceDE/>
        <w:autoSpaceDN/>
        <w:bidi w:val="0"/>
        <w:adjustRightInd/>
        <w:snapToGrid/>
        <w:spacing w:beforeLines="0" w:after="157" w:afterLines="50" w:line="560" w:lineRule="exact"/>
        <w:jc w:val="center"/>
        <w:textAlignment w:val="auto"/>
        <w:rPr>
          <w:rFonts w:hint="default" w:ascii="Times New Roman" w:hAnsi="Times New Roman" w:eastAsia="方正小标宋简体" w:cs="Times New Roman"/>
          <w:snapToGrid/>
          <w:color w:val="000000"/>
          <w:spacing w:val="0"/>
          <w:kern w:val="21"/>
          <w:sz w:val="40"/>
          <w:szCs w:val="40"/>
          <w:highlight w:val="none"/>
          <w:lang w:val="en-US" w:eastAsia="zh-CN" w:bidi="ar-SA"/>
        </w:rPr>
      </w:pPr>
      <w:r>
        <w:rPr>
          <w:rFonts w:hint="default" w:ascii="Times New Roman" w:hAnsi="Times New Roman" w:eastAsia="方正小标宋简体" w:cs="Times New Roman"/>
          <w:snapToGrid/>
          <w:color w:val="000000"/>
          <w:spacing w:val="0"/>
          <w:kern w:val="21"/>
          <w:sz w:val="40"/>
          <w:szCs w:val="40"/>
          <w:highlight w:val="none"/>
          <w:lang w:val="en-US" w:eastAsia="zh-CN" w:bidi="ar-SA"/>
        </w:rPr>
        <w:t>湖南省零碳工厂建设指标体系</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89"/>
        <w:gridCol w:w="2567"/>
        <w:gridCol w:w="1535"/>
        <w:gridCol w:w="1446"/>
        <w:gridCol w:w="1411"/>
      </w:tblGrid>
      <w:tr w14:paraId="03AD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50" w:type="pct"/>
            <w:vMerge w:val="restart"/>
            <w:noWrap w:val="0"/>
            <w:vAlign w:val="center"/>
          </w:tcPr>
          <w:p w14:paraId="2ECBA422">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序号</w:t>
            </w:r>
          </w:p>
        </w:tc>
        <w:tc>
          <w:tcPr>
            <w:tcW w:w="463" w:type="pct"/>
            <w:vMerge w:val="restart"/>
            <w:noWrap w:val="0"/>
            <w:vAlign w:val="center"/>
          </w:tcPr>
          <w:p w14:paraId="6836C3FE">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SA"/>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指标类型</w:t>
            </w:r>
          </w:p>
        </w:tc>
        <w:tc>
          <w:tcPr>
            <w:tcW w:w="1507" w:type="pct"/>
            <w:vMerge w:val="restart"/>
            <w:noWrap w:val="0"/>
            <w:vAlign w:val="center"/>
          </w:tcPr>
          <w:p w14:paraId="3C9C1D8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SA"/>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指标名称</w:t>
            </w:r>
          </w:p>
        </w:tc>
        <w:tc>
          <w:tcPr>
            <w:tcW w:w="2578" w:type="pct"/>
            <w:gridSpan w:val="3"/>
            <w:noWrap w:val="0"/>
            <w:vAlign w:val="center"/>
          </w:tcPr>
          <w:p w14:paraId="787E5A5E">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目标要求</w:t>
            </w:r>
          </w:p>
        </w:tc>
      </w:tr>
      <w:tr w14:paraId="3F42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0" w:type="pct"/>
            <w:vMerge w:val="continue"/>
            <w:noWrap w:val="0"/>
            <w:vAlign w:val="center"/>
          </w:tcPr>
          <w:p w14:paraId="6FEF556C">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p>
        </w:tc>
        <w:tc>
          <w:tcPr>
            <w:tcW w:w="463" w:type="pct"/>
            <w:vMerge w:val="continue"/>
            <w:noWrap w:val="0"/>
            <w:vAlign w:val="center"/>
          </w:tcPr>
          <w:p w14:paraId="200A0A8C">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p>
        </w:tc>
        <w:tc>
          <w:tcPr>
            <w:tcW w:w="1507" w:type="pct"/>
            <w:vMerge w:val="continue"/>
            <w:noWrap w:val="0"/>
            <w:vAlign w:val="center"/>
          </w:tcPr>
          <w:p w14:paraId="2CFB7583">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p>
        </w:tc>
        <w:tc>
          <w:tcPr>
            <w:tcW w:w="901" w:type="pct"/>
            <w:noWrap w:val="0"/>
            <w:vAlign w:val="center"/>
          </w:tcPr>
          <w:p w14:paraId="2627CE3A">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2027年</w:t>
            </w:r>
          </w:p>
        </w:tc>
        <w:tc>
          <w:tcPr>
            <w:tcW w:w="849" w:type="pct"/>
            <w:noWrap w:val="0"/>
            <w:vAlign w:val="center"/>
          </w:tcPr>
          <w:p w14:paraId="5CF6BD5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2030年</w:t>
            </w:r>
          </w:p>
        </w:tc>
        <w:tc>
          <w:tcPr>
            <w:tcW w:w="827" w:type="pct"/>
            <w:noWrap w:val="0"/>
            <w:vAlign w:val="center"/>
          </w:tcPr>
          <w:p w14:paraId="4123B20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pPr>
            <w:r>
              <w:rPr>
                <w:rFonts w:hint="default" w:ascii="Times New Roman" w:hAnsi="Times New Roman" w:eastAsia="黑体" w:cs="Times New Roman"/>
                <w:b w:val="0"/>
                <w:bCs w:val="0"/>
                <w:i w:val="0"/>
                <w:iCs w:val="0"/>
                <w:snapToGrid/>
                <w:color w:val="000000"/>
                <w:spacing w:val="0"/>
                <w:kern w:val="21"/>
                <w:sz w:val="28"/>
                <w:szCs w:val="28"/>
                <w:highlight w:val="none"/>
                <w:u w:val="none"/>
                <w:lang w:val="en-US" w:eastAsia="zh-CN" w:bidi="ar"/>
              </w:rPr>
              <w:t>2035年</w:t>
            </w:r>
          </w:p>
        </w:tc>
      </w:tr>
      <w:tr w14:paraId="3AF3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50" w:type="pct"/>
            <w:noWrap w:val="0"/>
            <w:vAlign w:val="center"/>
          </w:tcPr>
          <w:p w14:paraId="450DBBB6">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1</w:t>
            </w:r>
          </w:p>
        </w:tc>
        <w:tc>
          <w:tcPr>
            <w:tcW w:w="463" w:type="pct"/>
            <w:noWrap w:val="0"/>
            <w:vAlign w:val="center"/>
          </w:tcPr>
          <w:p w14:paraId="5E3CA28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核心指标</w:t>
            </w:r>
          </w:p>
        </w:tc>
        <w:tc>
          <w:tcPr>
            <w:tcW w:w="1507" w:type="pct"/>
            <w:noWrap w:val="0"/>
            <w:vAlign w:val="center"/>
          </w:tcPr>
          <w:p w14:paraId="45D80A33">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单位能耗碳排放（</w:t>
            </w:r>
            <w:r>
              <w:rPr>
                <w:rFonts w:hint="default" w:ascii="Times New Roman" w:hAnsi="Times New Roman" w:eastAsia="仿宋" w:cs="Times New Roman"/>
                <w:snapToGrid/>
                <w:color w:val="000000"/>
                <w:spacing w:val="0"/>
                <w:kern w:val="21"/>
                <w:sz w:val="32"/>
                <w:szCs w:val="32"/>
                <w:highlight w:val="none"/>
                <w:vertAlign w:val="baseline"/>
                <w:lang w:val="en-US" w:eastAsia="zh-CN"/>
              </w:rPr>
              <w:t>tCO</w:t>
            </w:r>
            <w:r>
              <w:rPr>
                <w:rFonts w:hint="default" w:ascii="Times New Roman" w:hAnsi="Times New Roman" w:eastAsia="仿宋" w:cs="Times New Roman"/>
                <w:snapToGrid/>
                <w:color w:val="000000"/>
                <w:spacing w:val="0"/>
                <w:kern w:val="21"/>
                <w:sz w:val="32"/>
                <w:szCs w:val="32"/>
                <w:highlight w:val="none"/>
                <w:vertAlign w:val="subscript"/>
                <w:lang w:val="en-US" w:eastAsia="zh-CN"/>
              </w:rPr>
              <w:t>2</w:t>
            </w:r>
            <w:r>
              <w:rPr>
                <w:rFonts w:hint="default" w:ascii="Times New Roman" w:hAnsi="Times New Roman" w:eastAsia="仿宋" w:cs="Times New Roman"/>
                <w:snapToGrid/>
                <w:color w:val="000000"/>
                <w:spacing w:val="0"/>
                <w:kern w:val="21"/>
                <w:sz w:val="32"/>
                <w:szCs w:val="32"/>
                <w:highlight w:val="none"/>
                <w:vertAlign w:val="baseline"/>
                <w:lang w:val="en-US" w:eastAsia="zh-CN"/>
              </w:rPr>
              <w:t>e/tce</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p>
        </w:tc>
        <w:tc>
          <w:tcPr>
            <w:tcW w:w="901" w:type="pct"/>
            <w:noWrap w:val="0"/>
            <w:vAlign w:val="center"/>
          </w:tcPr>
          <w:p w14:paraId="632415C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≤1.25</w:t>
            </w:r>
          </w:p>
        </w:tc>
        <w:tc>
          <w:tcPr>
            <w:tcW w:w="849" w:type="pct"/>
            <w:noWrap w:val="0"/>
            <w:vAlign w:val="center"/>
          </w:tcPr>
          <w:p w14:paraId="1ABA27E4">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0.87</w:t>
            </w:r>
          </w:p>
        </w:tc>
        <w:tc>
          <w:tcPr>
            <w:tcW w:w="827" w:type="pct"/>
            <w:noWrap w:val="0"/>
            <w:vAlign w:val="center"/>
          </w:tcPr>
          <w:p w14:paraId="7A096C7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0.37</w:t>
            </w:r>
          </w:p>
        </w:tc>
      </w:tr>
      <w:tr w14:paraId="48F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50" w:type="pct"/>
            <w:noWrap w:val="0"/>
            <w:vAlign w:val="center"/>
          </w:tcPr>
          <w:p w14:paraId="58CE91C3">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2</w:t>
            </w:r>
          </w:p>
        </w:tc>
        <w:tc>
          <w:tcPr>
            <w:tcW w:w="463" w:type="pct"/>
            <w:vMerge w:val="restart"/>
            <w:noWrap w:val="0"/>
            <w:vAlign w:val="center"/>
          </w:tcPr>
          <w:p w14:paraId="68383982">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引导指标</w:t>
            </w:r>
          </w:p>
        </w:tc>
        <w:tc>
          <w:tcPr>
            <w:tcW w:w="1507" w:type="pct"/>
            <w:noWrap w:val="0"/>
            <w:vAlign w:val="center"/>
          </w:tcPr>
          <w:p w14:paraId="6DD08EE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年主营业务收入</w:t>
            </w:r>
          </w:p>
        </w:tc>
        <w:tc>
          <w:tcPr>
            <w:tcW w:w="2578" w:type="pct"/>
            <w:gridSpan w:val="3"/>
            <w:noWrap w:val="0"/>
            <w:vAlign w:val="center"/>
          </w:tcPr>
          <w:p w14:paraId="2B2D4ED6">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零碳工厂建设期内持续增长</w:t>
            </w:r>
          </w:p>
        </w:tc>
      </w:tr>
      <w:tr w14:paraId="5216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50" w:type="pct"/>
            <w:noWrap w:val="0"/>
            <w:vAlign w:val="center"/>
          </w:tcPr>
          <w:p w14:paraId="5BE6C42A">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3</w:t>
            </w:r>
          </w:p>
        </w:tc>
        <w:tc>
          <w:tcPr>
            <w:tcW w:w="463" w:type="pct"/>
            <w:vMerge w:val="continue"/>
            <w:noWrap w:val="0"/>
            <w:vAlign w:val="center"/>
          </w:tcPr>
          <w:p w14:paraId="454CEF64">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097E764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可再生能源使用比例</w:t>
            </w:r>
          </w:p>
        </w:tc>
        <w:tc>
          <w:tcPr>
            <w:tcW w:w="901" w:type="pct"/>
            <w:noWrap w:val="0"/>
            <w:vAlign w:val="center"/>
          </w:tcPr>
          <w:p w14:paraId="71DA745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≥35%</w:t>
            </w:r>
          </w:p>
        </w:tc>
        <w:tc>
          <w:tcPr>
            <w:tcW w:w="849" w:type="pct"/>
            <w:noWrap w:val="0"/>
            <w:vAlign w:val="center"/>
          </w:tcPr>
          <w:p w14:paraId="562E3316">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≥55%</w:t>
            </w:r>
          </w:p>
        </w:tc>
        <w:tc>
          <w:tcPr>
            <w:tcW w:w="827" w:type="pct"/>
            <w:noWrap w:val="0"/>
            <w:vAlign w:val="center"/>
          </w:tcPr>
          <w:p w14:paraId="43DBE98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≥80%</w:t>
            </w:r>
          </w:p>
        </w:tc>
      </w:tr>
      <w:tr w14:paraId="45EF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50" w:type="pct"/>
            <w:noWrap w:val="0"/>
            <w:vAlign w:val="center"/>
          </w:tcPr>
          <w:p w14:paraId="4B4BC9F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4</w:t>
            </w:r>
          </w:p>
        </w:tc>
        <w:tc>
          <w:tcPr>
            <w:tcW w:w="463" w:type="pct"/>
            <w:vMerge w:val="continue"/>
            <w:noWrap w:val="0"/>
            <w:vAlign w:val="center"/>
          </w:tcPr>
          <w:p w14:paraId="68D8124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0A170FF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重点工业产品碳足迹降低率</w:t>
            </w:r>
          </w:p>
        </w:tc>
        <w:tc>
          <w:tcPr>
            <w:tcW w:w="2578" w:type="pct"/>
            <w:gridSpan w:val="3"/>
            <w:noWrap w:val="0"/>
            <w:vAlign w:val="center"/>
          </w:tcPr>
          <w:p w14:paraId="126D201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u w:val="none"/>
                <w:lang w:val="en-US" w:eastAsia="zh-CN" w:bidi="ar"/>
              </w:rPr>
            </w:pPr>
            <w:r>
              <w:rPr>
                <w:rFonts w:hint="default" w:ascii="Times New Roman" w:hAnsi="Times New Roman" w:eastAsia="仿宋" w:cs="Times New Roman"/>
                <w:snapToGrid/>
                <w:color w:val="000000"/>
                <w:spacing w:val="0"/>
                <w:kern w:val="21"/>
                <w:sz w:val="28"/>
                <w:szCs w:val="28"/>
                <w:highlight w:val="none"/>
                <w:u w:val="none"/>
                <w:lang w:val="en-US" w:eastAsia="zh-CN" w:bidi="ar"/>
              </w:rPr>
              <w:t>较基准年下降率</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w:t>
            </w:r>
            <w:r>
              <w:rPr>
                <w:rFonts w:hint="default" w:ascii="Times New Roman" w:hAnsi="Times New Roman" w:eastAsia="仿宋" w:cs="Times New Roman"/>
                <w:snapToGrid/>
                <w:color w:val="000000"/>
                <w:spacing w:val="0"/>
                <w:kern w:val="21"/>
                <w:sz w:val="28"/>
                <w:szCs w:val="28"/>
                <w:highlight w:val="none"/>
                <w:u w:val="none"/>
                <w:lang w:val="en-US" w:eastAsia="zh-CN" w:bidi="ar"/>
              </w:rPr>
              <w:t>6%</w:t>
            </w:r>
          </w:p>
        </w:tc>
      </w:tr>
      <w:tr w14:paraId="1841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50" w:type="pct"/>
            <w:noWrap w:val="0"/>
            <w:vAlign w:val="center"/>
          </w:tcPr>
          <w:p w14:paraId="56F2324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5</w:t>
            </w:r>
          </w:p>
        </w:tc>
        <w:tc>
          <w:tcPr>
            <w:tcW w:w="463" w:type="pct"/>
            <w:vMerge w:val="continue"/>
            <w:noWrap w:val="0"/>
            <w:vAlign w:val="center"/>
          </w:tcPr>
          <w:p w14:paraId="7760324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74F6CC3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单位产品综合能耗</w:t>
            </w:r>
          </w:p>
        </w:tc>
        <w:tc>
          <w:tcPr>
            <w:tcW w:w="2578" w:type="pct"/>
            <w:gridSpan w:val="3"/>
            <w:noWrap w:val="0"/>
            <w:vAlign w:val="center"/>
          </w:tcPr>
          <w:p w14:paraId="041F5E2D">
            <w:pPr>
              <w:pStyle w:val="2"/>
              <w:spacing w:line="360" w:lineRule="exact"/>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snapToGrid/>
                <w:color w:val="000000"/>
                <w:spacing w:val="0"/>
                <w:kern w:val="21"/>
                <w:sz w:val="28"/>
                <w:szCs w:val="28"/>
                <w:highlight w:val="none"/>
                <w:u w:val="none"/>
                <w:lang w:bidi="ar"/>
              </w:rPr>
              <w:t>单位产品能耗指标达到相应</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能耗限额强制性国家标准中的1级（先进值）或国家最新发布的工业重点领域能效标杆水平，没有国家标准的达到地方或行业先进水平。</w:t>
            </w:r>
          </w:p>
        </w:tc>
      </w:tr>
      <w:tr w14:paraId="34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0" w:type="pct"/>
            <w:noWrap w:val="0"/>
            <w:vAlign w:val="center"/>
          </w:tcPr>
          <w:p w14:paraId="124057B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6</w:t>
            </w:r>
          </w:p>
        </w:tc>
        <w:tc>
          <w:tcPr>
            <w:tcW w:w="463" w:type="pct"/>
            <w:vMerge w:val="continue"/>
            <w:noWrap w:val="0"/>
            <w:vAlign w:val="center"/>
          </w:tcPr>
          <w:p w14:paraId="7B6DC4E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46C5F0A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通用设备能效水平</w:t>
            </w:r>
          </w:p>
        </w:tc>
        <w:tc>
          <w:tcPr>
            <w:tcW w:w="2578" w:type="pct"/>
            <w:gridSpan w:val="3"/>
            <w:noWrap w:val="0"/>
            <w:vAlign w:val="center"/>
          </w:tcPr>
          <w:p w14:paraId="487E7CA8">
            <w:pPr>
              <w:snapToGrid w:val="0"/>
              <w:spacing w:beforeLines="0" w:afterLines="0" w:line="360" w:lineRule="exact"/>
              <w:jc w:val="left"/>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变压器、空压机、风机、电机等主要通用设备能效等级达到相应强制性能效国家标准的2级及以上水平或国家最新发布的重点用能产品设备能效节能水平。</w:t>
            </w:r>
          </w:p>
        </w:tc>
      </w:tr>
      <w:tr w14:paraId="3CB3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0" w:type="pct"/>
            <w:noWrap w:val="0"/>
            <w:vAlign w:val="center"/>
          </w:tcPr>
          <w:p w14:paraId="7FB3513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7</w:t>
            </w:r>
          </w:p>
        </w:tc>
        <w:tc>
          <w:tcPr>
            <w:tcW w:w="463" w:type="pct"/>
            <w:vMerge w:val="continue"/>
            <w:noWrap w:val="0"/>
            <w:vAlign w:val="center"/>
          </w:tcPr>
          <w:p w14:paraId="7BC5BD0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56FB70DC">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工业用水重复利用率</w:t>
            </w:r>
          </w:p>
        </w:tc>
        <w:tc>
          <w:tcPr>
            <w:tcW w:w="2578" w:type="pct"/>
            <w:gridSpan w:val="3"/>
            <w:noWrap w:val="0"/>
            <w:vAlign w:val="center"/>
          </w:tcPr>
          <w:p w14:paraId="614B28C4">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达到相应行业节水型企业国家标准要求，没有国家标准的达到地方或行业先进水平。</w:t>
            </w:r>
          </w:p>
        </w:tc>
      </w:tr>
      <w:tr w14:paraId="6F4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0" w:type="pct"/>
            <w:noWrap w:val="0"/>
            <w:vAlign w:val="center"/>
          </w:tcPr>
          <w:p w14:paraId="66C6E01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r>
              <w:rPr>
                <w:rFonts w:hint="default" w:ascii="Times New Roman" w:hAnsi="Times New Roman" w:eastAsia="仿宋" w:cs="Times New Roman"/>
                <w:snapToGrid/>
                <w:color w:val="000000"/>
                <w:spacing w:val="0"/>
                <w:kern w:val="21"/>
                <w:sz w:val="28"/>
                <w:szCs w:val="28"/>
                <w:highlight w:val="none"/>
                <w:vertAlign w:val="baseline"/>
                <w:lang w:val="en-US" w:eastAsia="zh-CN" w:bidi="ar-SA"/>
              </w:rPr>
              <w:t>8</w:t>
            </w:r>
          </w:p>
        </w:tc>
        <w:tc>
          <w:tcPr>
            <w:tcW w:w="463" w:type="pct"/>
            <w:vMerge w:val="continue"/>
            <w:noWrap w:val="0"/>
            <w:vAlign w:val="center"/>
          </w:tcPr>
          <w:p w14:paraId="7BD448F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napToGrid/>
                <w:color w:val="000000"/>
                <w:spacing w:val="0"/>
                <w:kern w:val="21"/>
                <w:sz w:val="28"/>
                <w:szCs w:val="28"/>
                <w:highlight w:val="none"/>
                <w:vertAlign w:val="baseline"/>
                <w:lang w:val="en-US" w:eastAsia="zh-CN" w:bidi="ar-SA"/>
              </w:rPr>
            </w:pPr>
          </w:p>
        </w:tc>
        <w:tc>
          <w:tcPr>
            <w:tcW w:w="1507" w:type="pct"/>
            <w:noWrap w:val="0"/>
            <w:vAlign w:val="center"/>
          </w:tcPr>
          <w:p w14:paraId="43759F3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SA"/>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一般工业固体废物综合利用率</w:t>
            </w:r>
          </w:p>
        </w:tc>
        <w:tc>
          <w:tcPr>
            <w:tcW w:w="2578" w:type="pct"/>
            <w:gridSpan w:val="3"/>
            <w:noWrap w:val="0"/>
            <w:vAlign w:val="center"/>
          </w:tcPr>
          <w:p w14:paraId="32DEE91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_GB2312" w:cs="Times New Roman"/>
                <w:i w:val="0"/>
                <w:iCs w:val="0"/>
                <w:snapToGrid/>
                <w:color w:val="000000"/>
                <w:spacing w:val="0"/>
                <w:kern w:val="21"/>
                <w:sz w:val="28"/>
                <w:szCs w:val="28"/>
                <w:highlight w:val="none"/>
                <w:u w:val="none"/>
                <w:lang w:val="en-US" w:eastAsia="zh-CN" w:bidi="ar"/>
              </w:rPr>
            </w:pP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t>≥95%</w:t>
            </w:r>
          </w:p>
        </w:tc>
      </w:tr>
    </w:tbl>
    <w:p w14:paraId="2B6C00ED">
      <w:pPr>
        <w:keepNext w:val="0"/>
        <w:keepLines w:val="0"/>
        <w:pageBreakBefore w:val="0"/>
        <w:widowControl w:val="0"/>
        <w:numPr>
          <w:ilvl w:val="0"/>
          <w:numId w:val="0"/>
        </w:numPr>
        <w:kinsoku/>
        <w:wordWrap/>
        <w:overflowPunct/>
        <w:topLinePunct w:val="0"/>
        <w:autoSpaceDE/>
        <w:autoSpaceDN/>
        <w:bidi w:val="0"/>
        <w:spacing w:beforeLines="0" w:afterLines="0" w:line="520" w:lineRule="exact"/>
        <w:ind w:firstLine="480" w:firstLineChars="200"/>
        <w:textAlignment w:val="auto"/>
        <w:rPr>
          <w:rFonts w:hint="default" w:ascii="Times New Roman" w:hAnsi="Times New Roman" w:eastAsia="仿宋" w:cs="Times New Roman"/>
          <w:snapToGrid/>
          <w:color w:val="000000"/>
          <w:spacing w:val="0"/>
          <w:kern w:val="21"/>
          <w:sz w:val="24"/>
          <w:szCs w:val="24"/>
          <w:highlight w:val="none"/>
          <w:lang w:val="en-US" w:eastAsia="zh-CN"/>
        </w:rPr>
      </w:pPr>
      <w:r>
        <w:rPr>
          <w:rFonts w:hint="default" w:ascii="Times New Roman" w:hAnsi="Times New Roman" w:eastAsia="仿宋" w:cs="Times New Roman"/>
          <w:snapToGrid/>
          <w:color w:val="000000"/>
          <w:spacing w:val="0"/>
          <w:kern w:val="21"/>
          <w:sz w:val="24"/>
          <w:szCs w:val="24"/>
          <w:highlight w:val="none"/>
          <w:lang w:val="en-US" w:eastAsia="zh-CN"/>
        </w:rPr>
        <w:t>备注：以上指标可根据不同行业特点在验收时进行适当微调。</w:t>
      </w:r>
    </w:p>
    <w:p w14:paraId="7C3E46B3">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黑体" w:cs="Times New Roman"/>
          <w:snapToGrid/>
          <w:spacing w:val="0"/>
          <w:kern w:val="21"/>
          <w:sz w:val="32"/>
          <w:szCs w:val="32"/>
          <w:highlight w:val="none"/>
          <w:lang w:val="en-US" w:eastAsia="zh-CN"/>
        </w:rPr>
      </w:pPr>
      <w:r>
        <w:rPr>
          <w:rFonts w:hint="default" w:ascii="Times New Roman" w:hAnsi="Times New Roman" w:eastAsia="黑体" w:cs="Times New Roman"/>
          <w:snapToGrid/>
          <w:spacing w:val="0"/>
          <w:kern w:val="21"/>
          <w:sz w:val="32"/>
          <w:szCs w:val="32"/>
          <w:highlight w:val="none"/>
          <w:lang w:val="en-US" w:eastAsia="zh-CN"/>
        </w:rPr>
        <w:t>一、指标类型说明</w:t>
      </w:r>
    </w:p>
    <w:p w14:paraId="40B68615">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 w:cs="Times New Roman"/>
          <w:snapToGrid/>
          <w:spacing w:val="0"/>
          <w:kern w:val="21"/>
          <w:sz w:val="32"/>
          <w:szCs w:val="32"/>
          <w:highlight w:val="none"/>
        </w:rPr>
      </w:pPr>
      <w:r>
        <w:rPr>
          <w:rFonts w:hint="default" w:ascii="Times New Roman" w:hAnsi="Times New Roman" w:eastAsia="仿宋" w:cs="Times New Roman"/>
          <w:snapToGrid/>
          <w:spacing w:val="0"/>
          <w:kern w:val="21"/>
          <w:sz w:val="32"/>
          <w:szCs w:val="32"/>
          <w:highlight w:val="none"/>
          <w:lang w:val="en-US" w:eastAsia="zh-CN"/>
        </w:rPr>
        <w:t>核心</w:t>
      </w:r>
      <w:r>
        <w:rPr>
          <w:rFonts w:hint="default" w:ascii="Times New Roman" w:hAnsi="Times New Roman" w:eastAsia="仿宋" w:cs="Times New Roman"/>
          <w:snapToGrid/>
          <w:spacing w:val="0"/>
          <w:kern w:val="21"/>
          <w:sz w:val="32"/>
          <w:szCs w:val="32"/>
          <w:highlight w:val="none"/>
        </w:rPr>
        <w:t>指标：零碳</w:t>
      </w:r>
      <w:r>
        <w:rPr>
          <w:rFonts w:hint="default" w:ascii="Times New Roman" w:hAnsi="Times New Roman" w:eastAsia="仿宋" w:cs="Times New Roman"/>
          <w:snapToGrid/>
          <w:spacing w:val="0"/>
          <w:kern w:val="21"/>
          <w:sz w:val="32"/>
          <w:szCs w:val="32"/>
          <w:highlight w:val="none"/>
          <w:lang w:val="en-US" w:eastAsia="zh-CN"/>
        </w:rPr>
        <w:t>工厂</w:t>
      </w:r>
      <w:r>
        <w:rPr>
          <w:rFonts w:hint="default" w:ascii="Times New Roman" w:hAnsi="Times New Roman" w:eastAsia="仿宋" w:cs="Times New Roman"/>
          <w:snapToGrid/>
          <w:spacing w:val="0"/>
          <w:kern w:val="21"/>
          <w:sz w:val="32"/>
          <w:szCs w:val="32"/>
          <w:highlight w:val="none"/>
        </w:rPr>
        <w:t>建设必须达到的目标，是验收评估的首要条件。达不到</w:t>
      </w:r>
      <w:r>
        <w:rPr>
          <w:rFonts w:hint="default" w:ascii="Times New Roman" w:hAnsi="Times New Roman" w:eastAsia="仿宋" w:cs="Times New Roman"/>
          <w:snapToGrid/>
          <w:spacing w:val="0"/>
          <w:kern w:val="21"/>
          <w:sz w:val="32"/>
          <w:szCs w:val="32"/>
          <w:highlight w:val="none"/>
          <w:lang w:val="en-US" w:eastAsia="zh-CN"/>
        </w:rPr>
        <w:t>核心指标</w:t>
      </w:r>
      <w:r>
        <w:rPr>
          <w:rFonts w:hint="default" w:ascii="Times New Roman" w:hAnsi="Times New Roman" w:eastAsia="仿宋" w:cs="Times New Roman"/>
          <w:snapToGrid/>
          <w:spacing w:val="0"/>
          <w:kern w:val="21"/>
          <w:sz w:val="32"/>
          <w:szCs w:val="32"/>
          <w:highlight w:val="none"/>
        </w:rPr>
        <w:t>要求的</w:t>
      </w:r>
      <w:r>
        <w:rPr>
          <w:rFonts w:hint="default" w:ascii="Times New Roman" w:hAnsi="Times New Roman" w:eastAsia="仿宋" w:cs="Times New Roman"/>
          <w:snapToGrid/>
          <w:spacing w:val="0"/>
          <w:kern w:val="21"/>
          <w:sz w:val="32"/>
          <w:szCs w:val="32"/>
          <w:highlight w:val="none"/>
          <w:lang w:val="en-US" w:eastAsia="zh-CN"/>
        </w:rPr>
        <w:t>企业</w:t>
      </w:r>
      <w:r>
        <w:rPr>
          <w:rFonts w:hint="default" w:ascii="Times New Roman" w:hAnsi="Times New Roman" w:eastAsia="仿宋" w:cs="Times New Roman"/>
          <w:snapToGrid/>
          <w:spacing w:val="0"/>
          <w:kern w:val="21"/>
          <w:sz w:val="32"/>
          <w:szCs w:val="32"/>
          <w:highlight w:val="none"/>
        </w:rPr>
        <w:t>，原则上不得申请验收评估。</w:t>
      </w:r>
    </w:p>
    <w:p w14:paraId="33D7D4AC">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 w:cs="Times New Roman"/>
          <w:snapToGrid/>
          <w:spacing w:val="0"/>
          <w:kern w:val="21"/>
          <w:sz w:val="32"/>
          <w:szCs w:val="32"/>
          <w:highlight w:val="none"/>
        </w:rPr>
      </w:pPr>
      <w:r>
        <w:rPr>
          <w:rFonts w:hint="default" w:ascii="Times New Roman" w:hAnsi="Times New Roman" w:eastAsia="仿宋" w:cs="Times New Roman"/>
          <w:snapToGrid/>
          <w:spacing w:val="0"/>
          <w:kern w:val="21"/>
          <w:sz w:val="32"/>
          <w:szCs w:val="32"/>
          <w:highlight w:val="none"/>
          <w:lang w:val="en-US" w:eastAsia="zh-CN"/>
        </w:rPr>
        <w:t>引导指标</w:t>
      </w:r>
      <w:r>
        <w:rPr>
          <w:rFonts w:hint="default" w:ascii="Times New Roman" w:hAnsi="Times New Roman" w:eastAsia="仿宋" w:cs="Times New Roman"/>
          <w:snapToGrid/>
          <w:spacing w:val="0"/>
          <w:kern w:val="21"/>
          <w:sz w:val="32"/>
          <w:szCs w:val="32"/>
          <w:highlight w:val="none"/>
        </w:rPr>
        <w:t>：</w:t>
      </w:r>
      <w:r>
        <w:rPr>
          <w:rFonts w:hint="default" w:ascii="Times New Roman" w:hAnsi="Times New Roman" w:eastAsia="仿宋" w:cs="Times New Roman"/>
          <w:snapToGrid/>
          <w:spacing w:val="0"/>
          <w:kern w:val="21"/>
          <w:sz w:val="32"/>
          <w:szCs w:val="32"/>
          <w:highlight w:val="none"/>
          <w:lang w:val="en-US" w:eastAsia="zh-CN"/>
        </w:rPr>
        <w:t>在</w:t>
      </w:r>
      <w:r>
        <w:rPr>
          <w:rFonts w:hint="default" w:ascii="Times New Roman" w:hAnsi="Times New Roman" w:eastAsia="仿宋" w:cs="Times New Roman"/>
          <w:snapToGrid/>
          <w:spacing w:val="0"/>
          <w:kern w:val="21"/>
          <w:sz w:val="32"/>
          <w:szCs w:val="32"/>
          <w:highlight w:val="none"/>
        </w:rPr>
        <w:t>零碳</w:t>
      </w:r>
      <w:r>
        <w:rPr>
          <w:rFonts w:hint="default" w:ascii="Times New Roman" w:hAnsi="Times New Roman" w:eastAsia="仿宋" w:cs="Times New Roman"/>
          <w:snapToGrid/>
          <w:spacing w:val="0"/>
          <w:kern w:val="21"/>
          <w:sz w:val="32"/>
          <w:szCs w:val="32"/>
          <w:highlight w:val="none"/>
          <w:lang w:val="en-US" w:eastAsia="zh-CN"/>
        </w:rPr>
        <w:t>工厂</w:t>
      </w:r>
      <w:r>
        <w:rPr>
          <w:rFonts w:hint="default" w:ascii="Times New Roman" w:hAnsi="Times New Roman" w:eastAsia="仿宋" w:cs="Times New Roman"/>
          <w:snapToGrid/>
          <w:spacing w:val="0"/>
          <w:kern w:val="21"/>
          <w:sz w:val="32"/>
          <w:szCs w:val="32"/>
          <w:highlight w:val="none"/>
        </w:rPr>
        <w:t>建设过程中发挥路径引导作用</w:t>
      </w:r>
      <w:r>
        <w:rPr>
          <w:rFonts w:hint="default" w:ascii="Times New Roman" w:hAnsi="Times New Roman" w:eastAsia="仿宋" w:cs="Times New Roman"/>
          <w:snapToGrid/>
          <w:spacing w:val="0"/>
          <w:kern w:val="21"/>
          <w:sz w:val="32"/>
          <w:szCs w:val="32"/>
          <w:highlight w:val="none"/>
          <w:lang w:eastAsia="zh-CN"/>
        </w:rPr>
        <w:t>，</w:t>
      </w:r>
      <w:r>
        <w:rPr>
          <w:rFonts w:hint="eastAsia" w:eastAsia="仿宋" w:cs="Times New Roman"/>
          <w:snapToGrid/>
          <w:spacing w:val="0"/>
          <w:kern w:val="21"/>
          <w:sz w:val="32"/>
          <w:szCs w:val="32"/>
          <w:highlight w:val="none"/>
          <w:lang w:eastAsia="zh-CN"/>
        </w:rPr>
        <w:t>是</w:t>
      </w:r>
      <w:r>
        <w:rPr>
          <w:rFonts w:hint="default" w:ascii="Times New Roman" w:hAnsi="Times New Roman" w:eastAsia="仿宋" w:cs="Times New Roman"/>
          <w:snapToGrid/>
          <w:spacing w:val="0"/>
          <w:kern w:val="21"/>
          <w:sz w:val="32"/>
          <w:szCs w:val="32"/>
          <w:highlight w:val="none"/>
          <w:lang w:val="en-US" w:eastAsia="zh-CN"/>
        </w:rPr>
        <w:t>验收</w:t>
      </w:r>
      <w:r>
        <w:rPr>
          <w:rFonts w:hint="eastAsia" w:eastAsia="仿宋" w:cs="Times New Roman"/>
          <w:snapToGrid/>
          <w:spacing w:val="0"/>
          <w:kern w:val="21"/>
          <w:sz w:val="32"/>
          <w:szCs w:val="32"/>
          <w:highlight w:val="none"/>
          <w:lang w:val="en-US" w:eastAsia="zh-CN"/>
        </w:rPr>
        <w:t>评估</w:t>
      </w:r>
      <w:r>
        <w:rPr>
          <w:rFonts w:hint="default" w:ascii="Times New Roman" w:hAnsi="Times New Roman" w:eastAsia="仿宋" w:cs="Times New Roman"/>
          <w:snapToGrid/>
          <w:spacing w:val="0"/>
          <w:kern w:val="21"/>
          <w:sz w:val="32"/>
          <w:szCs w:val="32"/>
          <w:highlight w:val="none"/>
        </w:rPr>
        <w:t>的参考目标。由于客观条件不具备开展相关工作</w:t>
      </w:r>
      <w:r>
        <w:rPr>
          <w:rFonts w:hint="eastAsia" w:eastAsia="仿宋" w:cs="Times New Roman"/>
          <w:snapToGrid/>
          <w:spacing w:val="0"/>
          <w:kern w:val="21"/>
          <w:sz w:val="32"/>
          <w:szCs w:val="32"/>
          <w:highlight w:val="none"/>
          <w:lang w:eastAsia="zh-CN"/>
        </w:rPr>
        <w:t>条件</w:t>
      </w:r>
      <w:r>
        <w:rPr>
          <w:rFonts w:hint="default" w:ascii="Times New Roman" w:hAnsi="Times New Roman" w:eastAsia="仿宋" w:cs="Times New Roman"/>
          <w:snapToGrid/>
          <w:spacing w:val="0"/>
          <w:kern w:val="21"/>
          <w:sz w:val="32"/>
          <w:szCs w:val="32"/>
          <w:highlight w:val="none"/>
        </w:rPr>
        <w:t>的</w:t>
      </w:r>
      <w:r>
        <w:rPr>
          <w:rFonts w:hint="default" w:ascii="Times New Roman" w:hAnsi="Times New Roman" w:eastAsia="仿宋" w:cs="Times New Roman"/>
          <w:snapToGrid/>
          <w:spacing w:val="0"/>
          <w:kern w:val="21"/>
          <w:sz w:val="32"/>
          <w:szCs w:val="32"/>
          <w:highlight w:val="none"/>
          <w:lang w:val="en-US" w:eastAsia="zh-CN"/>
        </w:rPr>
        <w:t>企业</w:t>
      </w:r>
      <w:r>
        <w:rPr>
          <w:rFonts w:hint="default" w:ascii="Times New Roman" w:hAnsi="Times New Roman" w:eastAsia="仿宋" w:cs="Times New Roman"/>
          <w:snapToGrid/>
          <w:spacing w:val="0"/>
          <w:kern w:val="21"/>
          <w:sz w:val="32"/>
          <w:szCs w:val="32"/>
          <w:highlight w:val="none"/>
        </w:rPr>
        <w:t>，可在申报材料中</w:t>
      </w:r>
      <w:r>
        <w:rPr>
          <w:rFonts w:hint="default" w:ascii="Times New Roman" w:hAnsi="Times New Roman" w:eastAsia="仿宋" w:cs="Times New Roman"/>
          <w:snapToGrid/>
          <w:spacing w:val="0"/>
          <w:kern w:val="21"/>
          <w:sz w:val="32"/>
          <w:szCs w:val="32"/>
          <w:highlight w:val="none"/>
          <w:lang w:val="en-US" w:eastAsia="zh-CN"/>
        </w:rPr>
        <w:t>说明原因，</w:t>
      </w:r>
      <w:r>
        <w:rPr>
          <w:rFonts w:hint="default" w:ascii="Times New Roman" w:hAnsi="Times New Roman" w:eastAsia="仿宋" w:cs="Times New Roman"/>
          <w:snapToGrid/>
          <w:spacing w:val="0"/>
          <w:kern w:val="21"/>
          <w:sz w:val="32"/>
          <w:szCs w:val="32"/>
          <w:highlight w:val="none"/>
        </w:rPr>
        <w:t>相关指标</w:t>
      </w:r>
      <w:r>
        <w:rPr>
          <w:rFonts w:hint="default" w:ascii="Times New Roman" w:hAnsi="Times New Roman" w:eastAsia="仿宋" w:cs="Times New Roman"/>
          <w:snapToGrid/>
          <w:spacing w:val="0"/>
          <w:kern w:val="21"/>
          <w:sz w:val="32"/>
          <w:szCs w:val="32"/>
          <w:highlight w:val="none"/>
          <w:lang w:val="en-US" w:eastAsia="zh-CN"/>
        </w:rPr>
        <w:t>将不纳入验收</w:t>
      </w:r>
      <w:r>
        <w:rPr>
          <w:rFonts w:hint="default" w:ascii="Times New Roman" w:hAnsi="Times New Roman" w:eastAsia="仿宋" w:cs="Times New Roman"/>
          <w:snapToGrid/>
          <w:spacing w:val="0"/>
          <w:kern w:val="21"/>
          <w:sz w:val="32"/>
          <w:szCs w:val="32"/>
          <w:highlight w:val="none"/>
        </w:rPr>
        <w:t>要求。</w:t>
      </w:r>
    </w:p>
    <w:p w14:paraId="61CF3421">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黑体" w:cs="Times New Roman"/>
          <w:snapToGrid/>
          <w:spacing w:val="0"/>
          <w:kern w:val="21"/>
          <w:sz w:val="32"/>
          <w:szCs w:val="32"/>
          <w:highlight w:val="none"/>
          <w:lang w:val="en-US" w:eastAsia="zh-CN"/>
        </w:rPr>
      </w:pPr>
      <w:r>
        <w:rPr>
          <w:rFonts w:hint="default" w:ascii="Times New Roman" w:hAnsi="Times New Roman" w:eastAsia="黑体" w:cs="Times New Roman"/>
          <w:snapToGrid/>
          <w:spacing w:val="0"/>
          <w:kern w:val="21"/>
          <w:sz w:val="32"/>
          <w:szCs w:val="32"/>
          <w:highlight w:val="none"/>
          <w:lang w:val="en-US" w:eastAsia="zh-CN"/>
        </w:rPr>
        <w:t>二、指标计算说明</w:t>
      </w:r>
    </w:p>
    <w:p w14:paraId="146DE7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3" w:firstLineChars="200"/>
        <w:textAlignment w:val="auto"/>
        <w:rPr>
          <w:rFonts w:hint="default" w:ascii="Times New Roman" w:hAnsi="Times New Roman" w:eastAsia="仿宋" w:cs="Times New Roman"/>
          <w:b/>
          <w:bCs/>
          <w:snapToGrid/>
          <w:color w:val="000000"/>
          <w:spacing w:val="0"/>
          <w:kern w:val="21"/>
          <w:sz w:val="32"/>
          <w:szCs w:val="32"/>
          <w:highlight w:val="none"/>
          <w:vertAlign w:val="baseline"/>
          <w:lang w:val="en-US" w:eastAsia="zh-CN"/>
        </w:rPr>
      </w:pPr>
      <w:r>
        <w:rPr>
          <w:rFonts w:hint="default" w:ascii="Times New Roman" w:hAnsi="Times New Roman" w:eastAsia="仿宋" w:cs="Times New Roman"/>
          <w:b/>
          <w:bCs/>
          <w:snapToGrid/>
          <w:color w:val="000000"/>
          <w:spacing w:val="0"/>
          <w:kern w:val="21"/>
          <w:sz w:val="32"/>
          <w:szCs w:val="32"/>
          <w:highlight w:val="none"/>
          <w:lang w:val="en-US" w:eastAsia="zh-CN"/>
        </w:rPr>
        <w:t>1.</w:t>
      </w:r>
      <w:r>
        <w:rPr>
          <w:rFonts w:hint="default" w:ascii="Times New Roman" w:hAnsi="Times New Roman" w:eastAsia="仿宋" w:cs="Times New Roman"/>
          <w:b/>
          <w:bCs/>
          <w:i w:val="0"/>
          <w:iCs w:val="0"/>
          <w:snapToGrid/>
          <w:color w:val="000000"/>
          <w:spacing w:val="0"/>
          <w:kern w:val="21"/>
          <w:sz w:val="32"/>
          <w:szCs w:val="32"/>
          <w:highlight w:val="none"/>
          <w:u w:val="none"/>
          <w:lang w:val="en-US" w:eastAsia="zh-CN" w:bidi="ar-SA"/>
        </w:rPr>
        <w:t>单位能耗碳排放</w:t>
      </w:r>
    </w:p>
    <w:p w14:paraId="166DA3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spacing w:val="0"/>
          <w:kern w:val="21"/>
          <w:sz w:val="32"/>
          <w:szCs w:val="32"/>
          <w:highlight w:val="none"/>
        </w:rPr>
        <w:t>指</w:t>
      </w:r>
      <w:r>
        <w:rPr>
          <w:rFonts w:hint="default" w:ascii="Times New Roman" w:hAnsi="Times New Roman" w:eastAsia="仿宋" w:cs="Times New Roman"/>
          <w:snapToGrid/>
          <w:spacing w:val="0"/>
          <w:kern w:val="21"/>
          <w:sz w:val="32"/>
          <w:szCs w:val="32"/>
          <w:highlight w:val="none"/>
          <w:lang w:val="en-US" w:eastAsia="zh-CN"/>
        </w:rPr>
        <w:t>工厂</w:t>
      </w:r>
      <w:r>
        <w:rPr>
          <w:rFonts w:hint="default" w:ascii="Times New Roman" w:hAnsi="Times New Roman" w:eastAsia="仿宋" w:cs="Times New Roman"/>
          <w:snapToGrid/>
          <w:spacing w:val="0"/>
          <w:kern w:val="21"/>
          <w:sz w:val="32"/>
          <w:szCs w:val="32"/>
          <w:highlight w:val="none"/>
        </w:rPr>
        <w:t>每消费一吨标准煤产生的二氧化碳排放量</w:t>
      </w:r>
      <w:r>
        <w:rPr>
          <w:rFonts w:hint="default" w:ascii="Times New Roman" w:hAnsi="Times New Roman" w:eastAsia="仿宋" w:cs="Times New Roman"/>
          <w:snapToGrid/>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按下式计算。</w:t>
      </w:r>
    </w:p>
    <w:p w14:paraId="1FBAC37A">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仿宋" w:cs="Times New Roman"/>
          <w:i/>
          <w:iCs/>
          <w:snapToGrid/>
          <w:color w:val="000000"/>
          <w:spacing w:val="0"/>
          <w:kern w:val="21"/>
          <w:sz w:val="44"/>
          <w:szCs w:val="44"/>
          <w:highlight w:val="none"/>
        </w:rPr>
      </w:pPr>
      <m:oMathPara>
        <m:oMath>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c</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g</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f>
            <m:f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fPr>
            <m:num>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C</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num>
            <m:den>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G</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den>
          </m:f>
        </m:oMath>
      </m:oMathPara>
    </w:p>
    <w:p w14:paraId="2DE52EA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式中：</w:t>
      </w:r>
    </w:p>
    <w:p w14:paraId="6C3987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c</w:t>
      </w:r>
      <w:r>
        <w:rPr>
          <w:rFonts w:hint="default" w:ascii="Times New Roman" w:hAnsi="Times New Roman" w:eastAsia="仿宋" w:cs="Times New Roman"/>
          <w:i/>
          <w:iCs w:val="0"/>
          <w:snapToGrid/>
          <w:color w:val="000000"/>
          <w:spacing w:val="0"/>
          <w:kern w:val="21"/>
          <w:sz w:val="32"/>
          <w:szCs w:val="32"/>
          <w:highlight w:val="none"/>
          <w:vertAlign w:val="subscript"/>
          <w:lang w:val="en-US" w:eastAsia="zh-CN" w:bidi="ar-SA"/>
        </w:rPr>
        <w:t>g</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snapToGrid/>
          <w:color w:val="000000"/>
          <w:spacing w:val="0"/>
          <w:kern w:val="21"/>
          <w:sz w:val="32"/>
          <w:szCs w:val="32"/>
          <w:highlight w:val="none"/>
          <w:vertAlign w:val="baseline"/>
          <w:lang w:val="en-US" w:eastAsia="zh-CN"/>
        </w:rPr>
        <w:t>单位能耗碳排放，单位为吨二氧化碳当量每吨标准煤（tCO</w:t>
      </w:r>
      <w:r>
        <w:rPr>
          <w:rFonts w:hint="default" w:ascii="Times New Roman" w:hAnsi="Times New Roman" w:eastAsia="仿宋" w:cs="Times New Roman"/>
          <w:snapToGrid/>
          <w:color w:val="000000"/>
          <w:spacing w:val="0"/>
          <w:kern w:val="21"/>
          <w:sz w:val="32"/>
          <w:szCs w:val="32"/>
          <w:highlight w:val="none"/>
          <w:vertAlign w:val="subscript"/>
          <w:lang w:val="en-US" w:eastAsia="zh-CN"/>
        </w:rPr>
        <w:t>2</w:t>
      </w:r>
      <w:r>
        <w:rPr>
          <w:rFonts w:hint="default" w:ascii="Times New Roman" w:hAnsi="Times New Roman" w:eastAsia="仿宋" w:cs="Times New Roman"/>
          <w:snapToGrid/>
          <w:color w:val="000000"/>
          <w:spacing w:val="0"/>
          <w:kern w:val="21"/>
          <w:sz w:val="32"/>
          <w:szCs w:val="32"/>
          <w:highlight w:val="none"/>
          <w:vertAlign w:val="baseline"/>
          <w:lang w:val="en-US" w:eastAsia="zh-CN"/>
        </w:rPr>
        <w:t>e/tce）；</w:t>
      </w:r>
    </w:p>
    <w:p w14:paraId="5C0FCE4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C</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工厂边界内二氧化碳当量排放量，单位为吨二氧化碳当量（tCO</w:t>
      </w:r>
      <w:r>
        <w:rPr>
          <w:rFonts w:hint="default" w:ascii="Times New Roman" w:hAnsi="Times New Roman" w:eastAsia="仿宋" w:cs="Times New Roman"/>
          <w:snapToGrid/>
          <w:color w:val="000000"/>
          <w:spacing w:val="0"/>
          <w:kern w:val="21"/>
          <w:sz w:val="32"/>
          <w:szCs w:val="32"/>
          <w:highlight w:val="none"/>
          <w:vertAlign w:val="subscript"/>
          <w:lang w:val="en-US" w:eastAsia="zh-CN"/>
        </w:rPr>
        <w:t>2</w:t>
      </w:r>
      <w:r>
        <w:rPr>
          <w:rFonts w:hint="default" w:ascii="Times New Roman" w:hAnsi="Times New Roman" w:eastAsia="仿宋" w:cs="Times New Roman"/>
          <w:snapToGrid/>
          <w:color w:val="000000"/>
          <w:spacing w:val="0"/>
          <w:kern w:val="21"/>
          <w:sz w:val="32"/>
          <w:szCs w:val="32"/>
          <w:highlight w:val="none"/>
          <w:vertAlign w:val="baseline"/>
          <w:lang w:val="en-US" w:eastAsia="zh-CN"/>
        </w:rPr>
        <w:t>e）；</w:t>
      </w:r>
    </w:p>
    <w:p w14:paraId="01BE3A0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G</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工厂的能源消费总量，单位为</w:t>
      </w:r>
      <w:r>
        <w:rPr>
          <w:rFonts w:hint="default" w:ascii="Times New Roman" w:hAnsi="Times New Roman" w:eastAsia="仿宋" w:cs="Times New Roman"/>
          <w:snapToGrid/>
          <w:spacing w:val="0"/>
          <w:kern w:val="21"/>
          <w:sz w:val="32"/>
          <w:szCs w:val="32"/>
          <w:highlight w:val="none"/>
        </w:rPr>
        <w:t>吨标准煤</w:t>
      </w:r>
      <w:r>
        <w:rPr>
          <w:rFonts w:hint="default" w:ascii="Times New Roman" w:hAnsi="Times New Roman" w:eastAsia="仿宋" w:cs="Times New Roman"/>
          <w:snapToGrid/>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tce</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p>
    <w:p w14:paraId="733E56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both"/>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注：1）工厂边界内二氧化碳当量排放量依据GB/T 32150、GB/T 32151（所有部分）核算工厂的燃料燃烧排放、过程排放以及购入电力与热力产生的排放。其中，排放因子的取值原则如下：</w:t>
      </w:r>
    </w:p>
    <w:p w14:paraId="6DC2111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a）全国电力平均二氧化碳排放因子（不包括市场化交易的非化石能源电量）采用中华人民共和国生态环境部发布的数据，后续如有更新，采用其最新发布的数值。</w:t>
      </w:r>
    </w:p>
    <w:p w14:paraId="286FFF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b）通过电力直供、市场化交易购入使用的非化石能源电力消费量的二氧化碳排放因子为零。</w:t>
      </w:r>
    </w:p>
    <w:p w14:paraId="2D17D56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c）不同能源品种和能源活动类型的排放因子采用国家温室气体排放因子数据库排放因子。</w:t>
      </w:r>
    </w:p>
    <w:p w14:paraId="1A8B547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2）能源消费总量为工厂实际消费的各种能源（扣除对外供应部分），能源折标准煤系数</w:t>
      </w:r>
      <w:r>
        <w:rPr>
          <w:rFonts w:hint="default" w:ascii="Times New Roman" w:hAnsi="Times New Roman" w:eastAsia="仿宋" w:cs="Times New Roman"/>
          <w:snapToGrid/>
          <w:color w:val="000000"/>
          <w:spacing w:val="0"/>
          <w:kern w:val="21"/>
          <w:sz w:val="24"/>
          <w:szCs w:val="24"/>
          <w:highlight w:val="none"/>
        </w:rPr>
        <w:t>按顺序依次采用《综合能耗计算通则》</w:t>
      </w:r>
      <w:r>
        <w:rPr>
          <w:rFonts w:hint="eastAsia" w:eastAsia="仿宋" w:cs="Times New Roman"/>
          <w:snapToGrid/>
          <w:color w:val="000000"/>
          <w:spacing w:val="0"/>
          <w:kern w:val="21"/>
          <w:sz w:val="24"/>
          <w:szCs w:val="24"/>
          <w:highlight w:val="none"/>
          <w:lang w:eastAsia="zh-CN"/>
        </w:rPr>
        <w:t>（</w:t>
      </w:r>
      <w:r>
        <w:rPr>
          <w:rFonts w:hint="default" w:ascii="Times New Roman" w:hAnsi="Times New Roman" w:eastAsia="仿宋" w:cs="Times New Roman"/>
          <w:snapToGrid/>
          <w:color w:val="000000"/>
          <w:spacing w:val="0"/>
          <w:kern w:val="21"/>
          <w:sz w:val="24"/>
          <w:szCs w:val="24"/>
          <w:highlight w:val="none"/>
        </w:rPr>
        <w:t>GB/T 2589</w:t>
      </w:r>
      <w:r>
        <w:rPr>
          <w:rFonts w:hint="eastAsia" w:eastAsia="仿宋" w:cs="Times New Roman"/>
          <w:snapToGrid/>
          <w:color w:val="000000"/>
          <w:spacing w:val="0"/>
          <w:kern w:val="21"/>
          <w:sz w:val="24"/>
          <w:szCs w:val="24"/>
          <w:highlight w:val="none"/>
          <w:lang w:eastAsia="zh-CN"/>
        </w:rPr>
        <w:t>）</w:t>
      </w:r>
      <w:r>
        <w:rPr>
          <w:rFonts w:hint="default" w:ascii="Times New Roman" w:hAnsi="Times New Roman" w:eastAsia="仿宋" w:cs="Times New Roman"/>
          <w:snapToGrid/>
          <w:color w:val="000000"/>
          <w:spacing w:val="0"/>
          <w:kern w:val="21"/>
          <w:sz w:val="24"/>
          <w:szCs w:val="24"/>
          <w:highlight w:val="none"/>
        </w:rPr>
        <w:t>、最新年份中国能源统计年鉴和最新年份湖南省能源统计报表制度列示数据</w:t>
      </w:r>
      <w:r>
        <w:rPr>
          <w:rFonts w:hint="default" w:ascii="Times New Roman" w:hAnsi="Times New Roman" w:eastAsia="仿宋" w:cs="Times New Roman"/>
          <w:snapToGrid/>
          <w:color w:val="000000"/>
          <w:spacing w:val="0"/>
          <w:kern w:val="21"/>
          <w:sz w:val="24"/>
          <w:szCs w:val="24"/>
          <w:highlight w:val="none"/>
          <w:lang w:eastAsia="zh-CN"/>
        </w:rPr>
        <w:t>，</w:t>
      </w:r>
      <w:r>
        <w:rPr>
          <w:rFonts w:hint="default" w:ascii="Times New Roman" w:hAnsi="Times New Roman" w:eastAsia="仿宋" w:cs="Times New Roman"/>
          <w:snapToGrid/>
          <w:color w:val="000000"/>
          <w:spacing w:val="0"/>
          <w:kern w:val="21"/>
          <w:sz w:val="24"/>
          <w:szCs w:val="24"/>
          <w:highlight w:val="none"/>
        </w:rPr>
        <w:t>电力消费能耗按照等价值计算</w:t>
      </w:r>
      <w:r>
        <w:rPr>
          <w:rFonts w:hint="default" w:ascii="Times New Roman" w:hAnsi="Times New Roman" w:eastAsia="仿宋" w:cs="Times New Roman"/>
          <w:snapToGrid/>
          <w:color w:val="000000"/>
          <w:spacing w:val="0"/>
          <w:kern w:val="21"/>
          <w:sz w:val="24"/>
          <w:szCs w:val="24"/>
          <w:highlight w:val="none"/>
          <w:lang w:eastAsia="zh-CN"/>
        </w:rPr>
        <w:t>，</w:t>
      </w:r>
      <w:r>
        <w:rPr>
          <w:rFonts w:hint="default" w:ascii="Times New Roman" w:hAnsi="Times New Roman" w:eastAsia="仿宋" w:cs="Times New Roman"/>
          <w:snapToGrid/>
          <w:color w:val="000000"/>
          <w:spacing w:val="0"/>
          <w:kern w:val="21"/>
          <w:sz w:val="24"/>
          <w:szCs w:val="24"/>
          <w:highlight w:val="none"/>
          <w:lang w:val="en-US" w:eastAsia="zh-CN"/>
        </w:rPr>
        <w:t>等价值系数采用《湖南省统计年鉴》发布的最新年份火力发电煤耗数据（2023年度为0.305kgce/kWh），后续如有更新，采用其最新发布的数值</w:t>
      </w:r>
      <w:r>
        <w:rPr>
          <w:rFonts w:hint="default" w:ascii="Times New Roman" w:hAnsi="Times New Roman" w:eastAsia="仿宋" w:cs="Times New Roman"/>
          <w:snapToGrid/>
          <w:color w:val="000000"/>
          <w:spacing w:val="0"/>
          <w:kern w:val="21"/>
          <w:sz w:val="24"/>
          <w:szCs w:val="24"/>
          <w:highlight w:val="none"/>
        </w:rPr>
        <w:t>。</w:t>
      </w:r>
    </w:p>
    <w:p w14:paraId="4B6214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 w:cs="Times New Roman"/>
          <w:b/>
          <w:bCs/>
          <w:snapToGrid/>
          <w:color w:val="000000"/>
          <w:spacing w:val="0"/>
          <w:kern w:val="21"/>
          <w:sz w:val="32"/>
          <w:szCs w:val="32"/>
          <w:highlight w:val="none"/>
          <w:lang w:val="en-US" w:eastAsia="zh-CN"/>
        </w:rPr>
        <w:t>2.</w:t>
      </w:r>
      <w:r>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t>可再生能源使用</w:t>
      </w:r>
      <w:r>
        <w:rPr>
          <w:rFonts w:hint="default" w:ascii="Times New Roman" w:hAnsi="Times New Roman" w:eastAsia="仿宋" w:cs="Times New Roman"/>
          <w:b/>
          <w:bCs/>
          <w:i w:val="0"/>
          <w:iCs w:val="0"/>
          <w:snapToGrid/>
          <w:color w:val="000000"/>
          <w:spacing w:val="0"/>
          <w:kern w:val="21"/>
          <w:sz w:val="32"/>
          <w:szCs w:val="32"/>
          <w:highlight w:val="none"/>
          <w:u w:val="none"/>
          <w:lang w:val="en-US" w:eastAsia="zh-CN" w:bidi="ar"/>
        </w:rPr>
        <w:t>比例</w:t>
      </w:r>
    </w:p>
    <w:p w14:paraId="198013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指工厂可再生能源消耗量与能源消费总量的比值，按下式计算。</w:t>
      </w:r>
    </w:p>
    <w:p w14:paraId="1143D627">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m:oMathPara>
        <m:oMath>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f>
            <m:f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fPr>
            <m:num>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num>
            <m:den>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G</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den>
          </m:f>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100</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oMath>
      </m:oMathPara>
    </w:p>
    <w:p w14:paraId="65FE35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式中：</w:t>
      </w:r>
    </w:p>
    <w:p w14:paraId="2A32F66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r</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snapToGrid/>
          <w:color w:val="000000"/>
          <w:spacing w:val="0"/>
          <w:kern w:val="21"/>
          <w:sz w:val="32"/>
          <w:szCs w:val="32"/>
          <w:highlight w:val="none"/>
          <w:vertAlign w:val="baseline"/>
          <w:lang w:val="en-US" w:eastAsia="zh-CN"/>
        </w:rPr>
        <w:t>可再生能源使用比例；</w:t>
      </w:r>
    </w:p>
    <w:p w14:paraId="4EA81B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R</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工厂可再生能源消耗量，单位为吨标准煤</w:t>
      </w:r>
      <w:r>
        <w:rPr>
          <w:rFonts w:hint="default" w:ascii="Times New Roman" w:hAnsi="Times New Roman" w:eastAsia="仿宋" w:cs="Times New Roman"/>
          <w:snapToGrid/>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tce</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p>
    <w:p w14:paraId="2E5254A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G</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工厂的能源消费总量，单位为</w:t>
      </w:r>
      <w:r>
        <w:rPr>
          <w:rFonts w:hint="default" w:ascii="Times New Roman" w:hAnsi="Times New Roman" w:eastAsia="仿宋" w:cs="Times New Roman"/>
          <w:snapToGrid/>
          <w:spacing w:val="0"/>
          <w:kern w:val="21"/>
          <w:sz w:val="32"/>
          <w:szCs w:val="32"/>
          <w:highlight w:val="none"/>
        </w:rPr>
        <w:t>吨标准煤</w:t>
      </w:r>
      <w:r>
        <w:rPr>
          <w:rFonts w:hint="default" w:ascii="Times New Roman" w:hAnsi="Times New Roman" w:eastAsia="仿宋" w:cs="Times New Roman"/>
          <w:snapToGrid/>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tce</w:t>
      </w:r>
      <w:r>
        <w:rPr>
          <w:rFonts w:hint="default" w:ascii="Times New Roman" w:hAnsi="Times New Roman" w:eastAsia="仿宋" w:cs="Times New Roman"/>
          <w:i w:val="0"/>
          <w:iCs w:val="0"/>
          <w:snapToGrid/>
          <w:color w:val="000000"/>
          <w:spacing w:val="0"/>
          <w:kern w:val="21"/>
          <w:sz w:val="28"/>
          <w:szCs w:val="28"/>
          <w:highlight w:val="none"/>
          <w:u w:val="none"/>
          <w:lang w:val="en-US" w:eastAsia="zh-CN" w:bidi="ar-SA"/>
        </w:rPr>
        <w:t>）</w:t>
      </w:r>
      <w:r>
        <w:rPr>
          <w:rFonts w:hint="eastAsia" w:eastAsia="仿宋" w:cs="Times New Roman"/>
          <w:i w:val="0"/>
          <w:iCs w:val="0"/>
          <w:snapToGrid/>
          <w:color w:val="000000"/>
          <w:spacing w:val="0"/>
          <w:kern w:val="21"/>
          <w:sz w:val="28"/>
          <w:szCs w:val="28"/>
          <w:highlight w:val="none"/>
          <w:u w:val="none"/>
          <w:lang w:val="en-US" w:eastAsia="zh-CN" w:bidi="ar-SA"/>
        </w:rPr>
        <w:t>。</w:t>
      </w:r>
    </w:p>
    <w:p w14:paraId="12FBFF7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注：1）可再生能源指能够在较短时间内通过自然过程不断补充和再生的能源，包括水能、风能、太阳能、生物质能、地热能、海洋能等。可再生能源消耗量指工厂生产实际消费的各种可再生能源总量。其中，可再生能源电力消费包括建设可再生能源利用设施自发自用、通过市场化交易购入使用、具备专线直供电力交易结算凭证的可再生能源电力消费量，以及单独购买的可再生能源绿色电力证书（GEC）对应的电力消费量（以上依据市场化交易合同、交易结算凭证、可再生能源绿色电力证书或电力交易机构出具的可再生能源电力消费核算清单，遵循不重复计算原则统计；单独购买的可再生能源绿色电力证书（GEC）对应的电力消费量最高按电力消费总量的10%计算）。</w:t>
      </w:r>
    </w:p>
    <w:p w14:paraId="015FC7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firstLine="480" w:firstLineChars="200"/>
        <w:jc w:val="left"/>
        <w:textAlignment w:val="auto"/>
        <w:rPr>
          <w:rFonts w:hint="default" w:ascii="Times New Roman" w:hAnsi="Times New Roman" w:eastAsia="仿宋" w:cs="Times New Roman"/>
          <w:snapToGrid/>
          <w:color w:val="000000"/>
          <w:spacing w:val="0"/>
          <w:kern w:val="21"/>
          <w:sz w:val="24"/>
          <w:szCs w:val="24"/>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2）</w:t>
      </w:r>
      <w:r>
        <w:rPr>
          <w:rFonts w:hint="default" w:ascii="Times New Roman" w:hAnsi="Times New Roman" w:eastAsia="仿宋" w:cs="Times New Roman"/>
          <w:snapToGrid/>
          <w:color w:val="000000"/>
          <w:spacing w:val="0"/>
          <w:kern w:val="21"/>
          <w:sz w:val="24"/>
          <w:szCs w:val="24"/>
          <w:highlight w:val="none"/>
        </w:rPr>
        <w:t>电力消费能耗按照等价值计算</w:t>
      </w:r>
      <w:r>
        <w:rPr>
          <w:rFonts w:hint="default" w:ascii="Times New Roman" w:hAnsi="Times New Roman" w:eastAsia="仿宋" w:cs="Times New Roman"/>
          <w:snapToGrid/>
          <w:color w:val="000000"/>
          <w:spacing w:val="0"/>
          <w:kern w:val="21"/>
          <w:sz w:val="24"/>
          <w:szCs w:val="24"/>
          <w:highlight w:val="none"/>
          <w:lang w:eastAsia="zh-CN"/>
        </w:rPr>
        <w:t>，</w:t>
      </w:r>
      <w:r>
        <w:rPr>
          <w:rFonts w:hint="default" w:ascii="Times New Roman" w:hAnsi="Times New Roman" w:eastAsia="仿宋" w:cs="Times New Roman"/>
          <w:snapToGrid/>
          <w:color w:val="000000"/>
          <w:spacing w:val="0"/>
          <w:kern w:val="21"/>
          <w:sz w:val="24"/>
          <w:szCs w:val="24"/>
          <w:highlight w:val="none"/>
          <w:lang w:val="en-US" w:eastAsia="zh-CN"/>
        </w:rPr>
        <w:t>等价值系数采用《湖南省统计年鉴》发布的最新年份火力发电煤耗数据（2023年度为0.305kgce/kWh），后续如有更新，采用其最新发布的数值</w:t>
      </w:r>
      <w:r>
        <w:rPr>
          <w:rFonts w:hint="default" w:ascii="Times New Roman" w:hAnsi="Times New Roman" w:eastAsia="仿宋" w:cs="Times New Roman"/>
          <w:snapToGrid/>
          <w:color w:val="000000"/>
          <w:spacing w:val="0"/>
          <w:kern w:val="21"/>
          <w:sz w:val="24"/>
          <w:szCs w:val="24"/>
          <w:highlight w:val="none"/>
          <w:vertAlign w:val="baseline"/>
          <w:lang w:val="en-US" w:eastAsia="zh-CN"/>
        </w:rPr>
        <w:t>。</w:t>
      </w:r>
    </w:p>
    <w:p w14:paraId="38619E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Times New Roman" w:hAnsi="Times New Roman" w:eastAsia="仿宋" w:cs="Times New Roman"/>
          <w:b/>
          <w:bCs/>
          <w:i w:val="0"/>
          <w:iCs w:val="0"/>
          <w:snapToGrid/>
          <w:color w:val="000000"/>
          <w:spacing w:val="0"/>
          <w:kern w:val="21"/>
          <w:sz w:val="32"/>
          <w:szCs w:val="32"/>
          <w:highlight w:val="none"/>
          <w:u w:val="none"/>
          <w:lang w:val="en-US" w:eastAsia="zh-CN" w:bidi="ar"/>
        </w:rPr>
      </w:pPr>
      <w:r>
        <w:rPr>
          <w:rFonts w:hint="default" w:ascii="Times New Roman" w:hAnsi="Times New Roman" w:eastAsia="仿宋" w:cs="Times New Roman"/>
          <w:b/>
          <w:bCs/>
          <w:i w:val="0"/>
          <w:iCs w:val="0"/>
          <w:snapToGrid/>
          <w:color w:val="000000"/>
          <w:spacing w:val="0"/>
          <w:kern w:val="21"/>
          <w:sz w:val="32"/>
          <w:szCs w:val="32"/>
          <w:highlight w:val="none"/>
          <w:u w:val="none"/>
          <w:lang w:val="en-US" w:eastAsia="zh-CN" w:bidi="ar"/>
        </w:rPr>
        <w:t>3.重点工业产品碳足迹降低率</w:t>
      </w:r>
    </w:p>
    <w:p w14:paraId="0DE49D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i w:val="0"/>
          <w:iCs w:val="0"/>
          <w:snapToGrid/>
          <w:color w:val="auto"/>
          <w:spacing w:val="0"/>
          <w:kern w:val="21"/>
          <w:sz w:val="32"/>
          <w:szCs w:val="32"/>
          <w:highlight w:val="none"/>
          <w:u w:val="none"/>
          <w:lang w:val="en-US" w:eastAsia="zh-CN" w:bidi="ar"/>
        </w:rPr>
      </w:pPr>
      <w:r>
        <w:rPr>
          <w:rFonts w:hint="default" w:ascii="Times New Roman" w:hAnsi="Times New Roman" w:eastAsia="仿宋" w:cs="Times New Roman"/>
          <w:b w:val="0"/>
          <w:bCs w:val="0"/>
          <w:i w:val="0"/>
          <w:iCs w:val="0"/>
          <w:snapToGrid/>
          <w:spacing w:val="0"/>
          <w:kern w:val="21"/>
          <w:sz w:val="32"/>
          <w:szCs w:val="32"/>
          <w:highlight w:val="none"/>
          <w:u w:val="none"/>
          <w:lang w:val="en-US" w:eastAsia="zh-CN" w:bidi="ar"/>
        </w:rPr>
        <w:t>指工厂主导工业产品</w:t>
      </w:r>
      <w:r>
        <w:rPr>
          <w:rFonts w:hint="default" w:ascii="Times New Roman" w:hAnsi="Times New Roman" w:eastAsia="仿宋" w:cs="Times New Roman"/>
          <w:snapToGrid/>
          <w:color w:val="auto"/>
          <w:spacing w:val="0"/>
          <w:kern w:val="21"/>
          <w:sz w:val="32"/>
          <w:szCs w:val="32"/>
          <w:highlight w:val="none"/>
          <w:u w:val="none"/>
          <w:lang w:val="en-US" w:eastAsia="zh-CN" w:bidi="ar"/>
        </w:rPr>
        <w:t>验收年的产品</w:t>
      </w:r>
      <w:r>
        <w:rPr>
          <w:rFonts w:hint="default" w:ascii="Times New Roman" w:hAnsi="Times New Roman" w:eastAsia="仿宋" w:cs="Times New Roman"/>
          <w:b w:val="0"/>
          <w:bCs w:val="0"/>
          <w:i w:val="0"/>
          <w:iCs w:val="0"/>
          <w:snapToGrid/>
          <w:color w:val="auto"/>
          <w:spacing w:val="0"/>
          <w:kern w:val="21"/>
          <w:sz w:val="32"/>
          <w:szCs w:val="32"/>
          <w:highlight w:val="none"/>
          <w:u w:val="none"/>
          <w:lang w:val="en-US" w:eastAsia="zh-CN" w:bidi="ar"/>
        </w:rPr>
        <w:t>碳足迹</w:t>
      </w:r>
      <w:r>
        <w:rPr>
          <w:rFonts w:hint="default" w:ascii="Times New Roman" w:hAnsi="Times New Roman" w:eastAsia="仿宋" w:cs="Times New Roman"/>
          <w:snapToGrid/>
          <w:color w:val="auto"/>
          <w:spacing w:val="0"/>
          <w:kern w:val="21"/>
          <w:sz w:val="32"/>
          <w:szCs w:val="32"/>
          <w:highlight w:val="none"/>
          <w:u w:val="none"/>
          <w:lang w:val="en-US" w:eastAsia="zh-CN" w:bidi="ar"/>
        </w:rPr>
        <w:t>较基准年的产品碳足迹下降率。</w:t>
      </w:r>
      <w:r>
        <w:rPr>
          <w:rFonts w:hint="default" w:ascii="Times New Roman" w:hAnsi="Times New Roman" w:eastAsia="仿宋" w:cs="Times New Roman"/>
          <w:b w:val="0"/>
          <w:bCs w:val="0"/>
          <w:i w:val="0"/>
          <w:iCs w:val="0"/>
          <w:snapToGrid/>
          <w:color w:val="auto"/>
          <w:spacing w:val="0"/>
          <w:kern w:val="21"/>
          <w:sz w:val="32"/>
          <w:szCs w:val="32"/>
          <w:highlight w:val="none"/>
          <w:u w:val="none"/>
          <w:lang w:val="en-US" w:eastAsia="zh-CN" w:bidi="ar"/>
        </w:rPr>
        <w:t>重点工业产品碳足迹</w:t>
      </w:r>
      <w:r>
        <w:rPr>
          <w:rFonts w:hint="default" w:ascii="Times New Roman" w:hAnsi="Times New Roman" w:eastAsia="仿宋" w:cs="Times New Roman"/>
          <w:i w:val="0"/>
          <w:iCs w:val="0"/>
          <w:snapToGrid/>
          <w:color w:val="auto"/>
          <w:spacing w:val="0"/>
          <w:kern w:val="21"/>
          <w:sz w:val="32"/>
          <w:szCs w:val="32"/>
          <w:highlight w:val="none"/>
          <w:u w:val="none"/>
          <w:lang w:val="en-US" w:eastAsia="zh-CN" w:bidi="ar"/>
        </w:rPr>
        <w:t>依据《温室气体产品碳足迹量化要求和指南》</w:t>
      </w:r>
      <w:r>
        <w:rPr>
          <w:rFonts w:hint="eastAsia" w:eastAsia="仿宋" w:cs="Times New Roman"/>
          <w:i w:val="0"/>
          <w:iCs w:val="0"/>
          <w:snapToGrid/>
          <w:color w:val="auto"/>
          <w:spacing w:val="0"/>
          <w:kern w:val="21"/>
          <w:sz w:val="32"/>
          <w:szCs w:val="32"/>
          <w:highlight w:val="none"/>
          <w:u w:val="none"/>
          <w:lang w:val="en-US" w:eastAsia="zh-CN" w:bidi="ar"/>
        </w:rPr>
        <w:t>（</w:t>
      </w:r>
      <w:r>
        <w:rPr>
          <w:rFonts w:hint="default" w:ascii="Times New Roman" w:hAnsi="Times New Roman" w:eastAsia="仿宋" w:cs="Times New Roman"/>
          <w:i w:val="0"/>
          <w:iCs w:val="0"/>
          <w:snapToGrid/>
          <w:color w:val="auto"/>
          <w:spacing w:val="0"/>
          <w:kern w:val="21"/>
          <w:sz w:val="32"/>
          <w:szCs w:val="32"/>
          <w:highlight w:val="none"/>
          <w:u w:val="none"/>
          <w:lang w:val="en-US" w:eastAsia="zh-CN" w:bidi="ar"/>
        </w:rPr>
        <w:t>GB/T 24067</w:t>
      </w:r>
      <w:r>
        <w:rPr>
          <w:rFonts w:hint="eastAsia" w:eastAsia="仿宋" w:cs="Times New Roman"/>
          <w:i w:val="0"/>
          <w:iCs w:val="0"/>
          <w:snapToGrid/>
          <w:color w:val="auto"/>
          <w:spacing w:val="0"/>
          <w:kern w:val="21"/>
          <w:sz w:val="32"/>
          <w:szCs w:val="32"/>
          <w:highlight w:val="none"/>
          <w:u w:val="none"/>
          <w:lang w:val="en-US" w:eastAsia="zh-CN" w:bidi="ar"/>
        </w:rPr>
        <w:t>）</w:t>
      </w:r>
      <w:r>
        <w:rPr>
          <w:rFonts w:hint="default" w:ascii="Times New Roman" w:hAnsi="Times New Roman" w:eastAsia="仿宋" w:cs="Times New Roman"/>
          <w:i w:val="0"/>
          <w:iCs w:val="0"/>
          <w:snapToGrid/>
          <w:color w:val="auto"/>
          <w:spacing w:val="0"/>
          <w:kern w:val="21"/>
          <w:sz w:val="32"/>
          <w:szCs w:val="32"/>
          <w:highlight w:val="none"/>
          <w:u w:val="none"/>
          <w:lang w:val="en-US" w:eastAsia="zh-CN" w:bidi="ar"/>
        </w:rPr>
        <w:t>等相关国家标准，以及行业标准、工业和信息化部等部门推荐的团体标准等核算。</w:t>
      </w:r>
    </w:p>
    <w:p w14:paraId="32BB41E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jc w:val="left"/>
        <w:textAlignment w:val="auto"/>
        <w:rPr>
          <w:rFonts w:hint="default" w:ascii="Times New Roman" w:hAnsi="Times New Roman" w:eastAsia="仿宋" w:cs="Times New Roman"/>
          <w:b/>
          <w:bCs/>
          <w:snapToGrid/>
          <w:color w:val="000000"/>
          <w:spacing w:val="0"/>
          <w:kern w:val="21"/>
          <w:sz w:val="32"/>
          <w:szCs w:val="32"/>
          <w:highlight w:val="none"/>
          <w:lang w:val="en-US" w:eastAsia="zh-CN"/>
        </w:rPr>
      </w:pPr>
      <w:r>
        <w:rPr>
          <w:rFonts w:hint="default" w:ascii="Times New Roman" w:hAnsi="Times New Roman" w:eastAsia="仿宋" w:cs="Times New Roman"/>
          <w:b/>
          <w:bCs/>
          <w:snapToGrid/>
          <w:color w:val="000000"/>
          <w:spacing w:val="0"/>
          <w:kern w:val="21"/>
          <w:sz w:val="32"/>
          <w:szCs w:val="32"/>
          <w:highlight w:val="none"/>
          <w:lang w:val="en-US" w:eastAsia="zh-CN"/>
        </w:rPr>
        <w:t>4.单位产品综合能耗</w:t>
      </w:r>
    </w:p>
    <w:p w14:paraId="51BCE6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lang w:val="en-US" w:eastAsia="zh-CN"/>
        </w:rPr>
      </w:pPr>
      <w:r>
        <w:rPr>
          <w:rFonts w:hint="default" w:ascii="Times New Roman" w:hAnsi="Times New Roman" w:eastAsia="仿宋" w:cs="Times New Roman"/>
          <w:b w:val="0"/>
          <w:bCs w:val="0"/>
          <w:i w:val="0"/>
          <w:iCs w:val="0"/>
          <w:snapToGrid/>
          <w:spacing w:val="0"/>
          <w:kern w:val="21"/>
          <w:sz w:val="32"/>
          <w:szCs w:val="32"/>
          <w:highlight w:val="none"/>
          <w:u w:val="none"/>
          <w:lang w:val="en-US" w:eastAsia="zh-CN" w:bidi="ar"/>
        </w:rPr>
        <w:t>工厂</w:t>
      </w:r>
      <w:r>
        <w:rPr>
          <w:rFonts w:hint="default" w:ascii="Times New Roman" w:hAnsi="Times New Roman" w:eastAsia="仿宋" w:cs="Times New Roman"/>
          <w:snapToGrid/>
          <w:spacing w:val="0"/>
          <w:kern w:val="21"/>
          <w:sz w:val="32"/>
          <w:szCs w:val="32"/>
          <w:highlight w:val="none"/>
          <w:lang w:val="en-US" w:eastAsia="zh-CN"/>
        </w:rPr>
        <w:t>生产的主要产品单位能耗参考现行有效单位产品能耗限额强制性国家标准计算并对标。没有国家标准的，参考团体标准、行业标准或地方标准。</w:t>
      </w:r>
      <w:r>
        <w:rPr>
          <w:rFonts w:hint="default" w:ascii="Times New Roman" w:hAnsi="Times New Roman" w:eastAsia="仿宋" w:cs="Times New Roman"/>
          <w:snapToGrid/>
          <w:color w:val="000000"/>
          <w:spacing w:val="0"/>
          <w:kern w:val="21"/>
          <w:sz w:val="32"/>
          <w:szCs w:val="32"/>
          <w:highlight w:val="none"/>
          <w:lang w:val="en-US" w:eastAsia="zh-CN"/>
        </w:rPr>
        <w:t>单位产品综合能耗按下式计算。</w:t>
      </w:r>
    </w:p>
    <w:p w14:paraId="3C6213C0">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m:oMathPara>
        <m:oMath>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E</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ui</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f>
            <m:f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fPr>
            <m:num>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E</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i</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num>
            <m:den>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Q</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i</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den>
          </m:f>
        </m:oMath>
      </m:oMathPara>
    </w:p>
    <w:p w14:paraId="00A953A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式中：</w:t>
      </w:r>
    </w:p>
    <w:p w14:paraId="51FE08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E</w:t>
      </w:r>
      <w:r>
        <w:rPr>
          <w:rFonts w:hint="default" w:ascii="Times New Roman" w:hAnsi="Times New Roman" w:eastAsia="仿宋" w:cs="Times New Roman"/>
          <w:i/>
          <w:iCs w:val="0"/>
          <w:snapToGrid/>
          <w:color w:val="000000"/>
          <w:spacing w:val="0"/>
          <w:kern w:val="21"/>
          <w:sz w:val="32"/>
          <w:szCs w:val="32"/>
          <w:highlight w:val="none"/>
          <w:vertAlign w:val="subscript"/>
          <w:lang w:val="en-US" w:eastAsia="zh-CN" w:bidi="ar-SA"/>
        </w:rPr>
        <w:t>ui</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i w:val="0"/>
          <w:iCs w:val="0"/>
          <w:snapToGrid/>
          <w:color w:val="000000"/>
          <w:spacing w:val="0"/>
          <w:kern w:val="21"/>
          <w:sz w:val="32"/>
          <w:szCs w:val="32"/>
          <w:highlight w:val="none"/>
          <w:vertAlign w:val="baseline"/>
          <w:lang w:val="en-US" w:eastAsia="zh-CN"/>
        </w:rPr>
        <w:t>第i种产品的</w:t>
      </w:r>
      <w:r>
        <w:rPr>
          <w:rFonts w:hint="default" w:ascii="Times New Roman" w:hAnsi="Times New Roman" w:eastAsia="仿宋" w:cs="Times New Roman"/>
          <w:snapToGrid/>
          <w:color w:val="000000"/>
          <w:spacing w:val="0"/>
          <w:kern w:val="21"/>
          <w:sz w:val="32"/>
          <w:szCs w:val="32"/>
          <w:highlight w:val="none"/>
          <w:vertAlign w:val="baseline"/>
          <w:lang w:val="en-US" w:eastAsia="zh-CN"/>
        </w:rPr>
        <w:t>单位产品综合能耗，单位为吨标准煤每产品单位（tce/产品单位）；</w:t>
      </w:r>
    </w:p>
    <w:p w14:paraId="25969E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E</w:t>
      </w:r>
      <w:r>
        <w:rPr>
          <w:rFonts w:hint="default" w:ascii="Times New Roman" w:hAnsi="Times New Roman" w:eastAsia="仿宋" w:cs="Times New Roman"/>
          <w:i/>
          <w:iCs w:val="0"/>
          <w:snapToGrid/>
          <w:color w:val="000000"/>
          <w:spacing w:val="0"/>
          <w:kern w:val="21"/>
          <w:sz w:val="32"/>
          <w:szCs w:val="32"/>
          <w:highlight w:val="none"/>
          <w:vertAlign w:val="subscript"/>
          <w:lang w:val="en-US" w:eastAsia="zh-CN" w:bidi="ar-SA"/>
        </w:rPr>
        <w:t>i</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工厂生产第</w:t>
      </w:r>
      <w:r>
        <w:rPr>
          <w:rFonts w:hint="default" w:ascii="Times New Roman" w:hAnsi="Times New Roman" w:eastAsia="仿宋" w:cs="Times New Roman"/>
          <w:i w:val="0"/>
          <w:iCs w:val="0"/>
          <w:snapToGrid/>
          <w:color w:val="000000"/>
          <w:spacing w:val="0"/>
          <w:kern w:val="21"/>
          <w:sz w:val="32"/>
          <w:szCs w:val="32"/>
          <w:highlight w:val="none"/>
          <w:vertAlign w:val="baseline"/>
          <w:lang w:val="en-US" w:eastAsia="zh-CN"/>
        </w:rPr>
        <w:t>i</w:t>
      </w:r>
      <w:r>
        <w:rPr>
          <w:rFonts w:hint="default" w:ascii="Times New Roman" w:hAnsi="Times New Roman" w:eastAsia="仿宋" w:cs="Times New Roman"/>
          <w:snapToGrid/>
          <w:color w:val="000000"/>
          <w:spacing w:val="0"/>
          <w:kern w:val="21"/>
          <w:sz w:val="32"/>
          <w:szCs w:val="32"/>
          <w:highlight w:val="none"/>
          <w:vertAlign w:val="baseline"/>
          <w:lang w:val="en-US" w:eastAsia="zh-CN"/>
        </w:rPr>
        <w:t>种产品的综合能耗，单位为吨标准煤（tce）；</w:t>
      </w:r>
    </w:p>
    <w:p w14:paraId="20F7703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Q</w:t>
      </w:r>
      <w:r>
        <w:rPr>
          <w:rFonts w:hint="default" w:ascii="Times New Roman" w:hAnsi="Times New Roman" w:eastAsia="仿宋" w:cs="Times New Roman"/>
          <w:i/>
          <w:iCs w:val="0"/>
          <w:snapToGrid/>
          <w:color w:val="000000"/>
          <w:spacing w:val="0"/>
          <w:kern w:val="21"/>
          <w:sz w:val="32"/>
          <w:szCs w:val="32"/>
          <w:highlight w:val="none"/>
          <w:vertAlign w:val="subscript"/>
          <w:lang w:val="en-US" w:eastAsia="zh-CN" w:bidi="ar-SA"/>
        </w:rPr>
        <w:t>i</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为评价年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第</w:t>
      </w:r>
      <w:r>
        <w:rPr>
          <w:rFonts w:hint="default" w:ascii="Times New Roman" w:hAnsi="Times New Roman" w:eastAsia="仿宋" w:cs="Times New Roman"/>
          <w:i w:val="0"/>
          <w:iCs w:val="0"/>
          <w:snapToGrid/>
          <w:color w:val="000000"/>
          <w:spacing w:val="0"/>
          <w:kern w:val="21"/>
          <w:sz w:val="32"/>
          <w:szCs w:val="32"/>
          <w:highlight w:val="none"/>
          <w:vertAlign w:val="baseline"/>
          <w:lang w:val="en-US" w:eastAsia="zh-CN"/>
        </w:rPr>
        <w:t>i</w:t>
      </w:r>
      <w:r>
        <w:rPr>
          <w:rFonts w:hint="default" w:ascii="Times New Roman" w:hAnsi="Times New Roman" w:eastAsia="仿宋" w:cs="Times New Roman"/>
          <w:snapToGrid/>
          <w:color w:val="000000"/>
          <w:spacing w:val="0"/>
          <w:kern w:val="21"/>
          <w:sz w:val="32"/>
          <w:szCs w:val="32"/>
          <w:highlight w:val="none"/>
          <w:vertAlign w:val="baseline"/>
          <w:lang w:val="en-US" w:eastAsia="zh-CN"/>
        </w:rPr>
        <w:t>种产品的合格产品产量，单位为产品单位，视产品种类而定。</w:t>
      </w:r>
    </w:p>
    <w:p w14:paraId="3C2A08A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tLeast"/>
        <w:ind w:left="0" w:leftChars="0" w:firstLine="48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24"/>
          <w:szCs w:val="24"/>
          <w:highlight w:val="none"/>
          <w:vertAlign w:val="baseline"/>
          <w:lang w:val="en-US" w:eastAsia="zh-CN"/>
        </w:rPr>
        <w:t>注：</w:t>
      </w:r>
      <w:r>
        <w:rPr>
          <w:rFonts w:hint="default" w:ascii="Times New Roman" w:hAnsi="Times New Roman" w:eastAsia="仿宋" w:cs="Times New Roman"/>
          <w:snapToGrid/>
          <w:color w:val="000000"/>
          <w:spacing w:val="0"/>
          <w:kern w:val="21"/>
          <w:sz w:val="24"/>
          <w:szCs w:val="24"/>
          <w:highlight w:val="none"/>
        </w:rPr>
        <w:t>同时生产多种产品</w:t>
      </w:r>
      <w:r>
        <w:rPr>
          <w:rFonts w:hint="default" w:ascii="Times New Roman" w:hAnsi="Times New Roman" w:eastAsia="仿宋" w:cs="Times New Roman"/>
          <w:snapToGrid/>
          <w:color w:val="000000"/>
          <w:spacing w:val="0"/>
          <w:kern w:val="21"/>
          <w:sz w:val="24"/>
          <w:szCs w:val="24"/>
          <w:highlight w:val="none"/>
          <w:lang w:eastAsia="zh-CN"/>
        </w:rPr>
        <w:t>时</w:t>
      </w:r>
      <w:r>
        <w:rPr>
          <w:rFonts w:hint="default" w:ascii="Times New Roman" w:hAnsi="Times New Roman" w:eastAsia="仿宋" w:cs="Times New Roman"/>
          <w:snapToGrid/>
          <w:color w:val="000000"/>
          <w:spacing w:val="0"/>
          <w:kern w:val="21"/>
          <w:sz w:val="24"/>
          <w:szCs w:val="24"/>
          <w:highlight w:val="none"/>
        </w:rPr>
        <w:t>应按每种产品实际消耗的能源分别计算。在无法分别对每种产品进行计量、计算时，可折算成标准产品统一计算，或按产量与能耗量的比例分摊计算。</w:t>
      </w:r>
    </w:p>
    <w:p w14:paraId="74CCA76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3" w:firstLineChars="200"/>
        <w:jc w:val="left"/>
        <w:textAlignment w:val="auto"/>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t>5.工业用水重复利用率</w:t>
      </w:r>
    </w:p>
    <w:p w14:paraId="41CB326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指工厂生产过程中使用的重复利用水量与总用水量的比值，按下式计算。</w:t>
      </w:r>
    </w:p>
    <w:p w14:paraId="11AFA14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0" w:firstLineChars="0"/>
        <w:jc w:val="center"/>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m:oMathPara>
        <m:oMathParaPr>
          <m:jc m:val="center"/>
        </m:oMathParaPr>
        <m:oMath>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f>
            <m:f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fPr>
            <m:num>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V</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num>
            <m:den>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V</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V</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den>
          </m:f>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100</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oMath>
      </m:oMathPara>
    </w:p>
    <w:p w14:paraId="18B7140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式中：</w:t>
      </w:r>
    </w:p>
    <w:p w14:paraId="4A42B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R</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snapToGrid/>
          <w:color w:val="000000"/>
          <w:spacing w:val="0"/>
          <w:kern w:val="21"/>
          <w:sz w:val="32"/>
          <w:szCs w:val="32"/>
          <w:highlight w:val="none"/>
          <w:vertAlign w:val="baseline"/>
          <w:lang w:val="en-US" w:eastAsia="zh-CN"/>
        </w:rPr>
        <w:t>工业用水重复利用率；</w:t>
      </w:r>
    </w:p>
    <w:p w14:paraId="251CF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V</w:t>
      </w:r>
      <w:r>
        <w:rPr>
          <w:rFonts w:hint="default" w:ascii="Times New Roman" w:hAnsi="Times New Roman" w:eastAsia="仿宋" w:cs="Times New Roman"/>
          <w:i/>
          <w:iCs w:val="0"/>
          <w:snapToGrid/>
          <w:color w:val="000000"/>
          <w:spacing w:val="0"/>
          <w:kern w:val="21"/>
          <w:sz w:val="32"/>
          <w:szCs w:val="32"/>
          <w:highlight w:val="none"/>
          <w:vertAlign w:val="subscript"/>
          <w:lang w:val="en-US" w:eastAsia="zh-CN" w:bidi="ar-SA"/>
        </w:rPr>
        <w:t>R</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工厂生产过程中使用的重复利用水量（包括循环利用的水量、直接和经处理后回收再利用的水量总和），单位为立方米（m</w:t>
      </w:r>
      <w:r>
        <w:rPr>
          <w:rFonts w:hint="default" w:ascii="Times New Roman" w:hAnsi="Times New Roman" w:eastAsia="仿宋" w:cs="Times New Roman"/>
          <w:snapToGrid/>
          <w:color w:val="000000"/>
          <w:spacing w:val="0"/>
          <w:kern w:val="21"/>
          <w:sz w:val="32"/>
          <w:szCs w:val="32"/>
          <w:highlight w:val="none"/>
          <w:vertAlign w:val="superscript"/>
          <w:lang w:val="en-US" w:eastAsia="zh-CN"/>
        </w:rPr>
        <w:t>3</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p>
    <w:p w14:paraId="6C9F6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V</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工厂的取水量，单位为立方米（m</w:t>
      </w:r>
      <w:r>
        <w:rPr>
          <w:rFonts w:hint="default" w:ascii="Times New Roman" w:hAnsi="Times New Roman" w:eastAsia="仿宋" w:cs="Times New Roman"/>
          <w:snapToGrid/>
          <w:color w:val="000000"/>
          <w:spacing w:val="0"/>
          <w:kern w:val="21"/>
          <w:sz w:val="32"/>
          <w:szCs w:val="32"/>
          <w:highlight w:val="none"/>
          <w:vertAlign w:val="superscript"/>
          <w:lang w:val="en-US" w:eastAsia="zh-CN"/>
        </w:rPr>
        <w:t>3</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p>
    <w:p w14:paraId="222C65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3" w:firstLineChars="200"/>
        <w:jc w:val="left"/>
        <w:textAlignment w:val="auto"/>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pPr>
      <w:r>
        <w:rPr>
          <w:rFonts w:hint="default" w:ascii="Times New Roman" w:hAnsi="Times New Roman" w:eastAsia="仿宋" w:cs="Times New Roman"/>
          <w:b/>
          <w:bCs/>
          <w:snapToGrid/>
          <w:color w:val="000000"/>
          <w:spacing w:val="0"/>
          <w:kern w:val="21"/>
          <w:sz w:val="32"/>
          <w:szCs w:val="32"/>
          <w:highlight w:val="none"/>
          <w:vertAlign w:val="baseline"/>
          <w:lang w:val="en-US" w:eastAsia="zh-CN" w:bidi="ar"/>
        </w:rPr>
        <w:t>6.一般工业固体废物综合利用率</w:t>
      </w:r>
    </w:p>
    <w:p w14:paraId="216874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spacing w:val="0"/>
          <w:kern w:val="21"/>
          <w:sz w:val="32"/>
          <w:szCs w:val="32"/>
          <w:highlight w:val="none"/>
          <w:lang w:eastAsia="zh-CN"/>
        </w:rPr>
        <w:t>指一般</w:t>
      </w:r>
      <w:r>
        <w:rPr>
          <w:rFonts w:hint="default" w:ascii="Times New Roman" w:hAnsi="Times New Roman" w:eastAsia="仿宋" w:cs="Times New Roman"/>
          <w:snapToGrid/>
          <w:spacing w:val="0"/>
          <w:kern w:val="21"/>
          <w:sz w:val="32"/>
          <w:szCs w:val="32"/>
          <w:highlight w:val="none"/>
        </w:rPr>
        <w:t>工业固体废物综合利用量与</w:t>
      </w:r>
      <w:r>
        <w:rPr>
          <w:rFonts w:hint="default" w:ascii="Times New Roman" w:hAnsi="Times New Roman" w:eastAsia="仿宋" w:cs="Times New Roman"/>
          <w:snapToGrid/>
          <w:spacing w:val="0"/>
          <w:kern w:val="21"/>
          <w:sz w:val="32"/>
          <w:szCs w:val="32"/>
          <w:highlight w:val="none"/>
          <w:lang w:eastAsia="zh-CN"/>
        </w:rPr>
        <w:t>一般</w:t>
      </w:r>
      <w:r>
        <w:rPr>
          <w:rFonts w:hint="default" w:ascii="Times New Roman" w:hAnsi="Times New Roman" w:eastAsia="仿宋" w:cs="Times New Roman"/>
          <w:snapToGrid/>
          <w:spacing w:val="0"/>
          <w:kern w:val="21"/>
          <w:sz w:val="32"/>
          <w:szCs w:val="32"/>
          <w:highlight w:val="none"/>
        </w:rPr>
        <w:t>工业固体废物产生量</w:t>
      </w:r>
      <w:r>
        <w:rPr>
          <w:rFonts w:hint="default" w:ascii="Times New Roman" w:hAnsi="Times New Roman" w:eastAsia="仿宋" w:cs="Times New Roman"/>
          <w:snapToGrid/>
          <w:spacing w:val="0"/>
          <w:kern w:val="21"/>
          <w:sz w:val="32"/>
          <w:szCs w:val="32"/>
          <w:highlight w:val="none"/>
          <w:lang w:val="en-US" w:eastAsia="zh-CN"/>
        </w:rPr>
        <w:t>和</w:t>
      </w:r>
      <w:r>
        <w:rPr>
          <w:rFonts w:hint="default" w:ascii="Times New Roman" w:hAnsi="Times New Roman" w:eastAsia="仿宋" w:cs="Times New Roman"/>
          <w:snapToGrid/>
          <w:spacing w:val="0"/>
          <w:kern w:val="21"/>
          <w:sz w:val="32"/>
          <w:szCs w:val="32"/>
          <w:highlight w:val="none"/>
        </w:rPr>
        <w:t>综合利用往年</w:t>
      </w:r>
      <w:r>
        <w:rPr>
          <w:rFonts w:hint="default" w:ascii="Times New Roman" w:hAnsi="Times New Roman" w:eastAsia="仿宋" w:cs="Times New Roman"/>
          <w:snapToGrid/>
          <w:color w:val="000000"/>
          <w:spacing w:val="0"/>
          <w:kern w:val="21"/>
          <w:sz w:val="32"/>
          <w:szCs w:val="32"/>
          <w:highlight w:val="none"/>
          <w:vertAlign w:val="baseline"/>
          <w:lang w:val="en-US" w:eastAsia="zh-CN"/>
        </w:rPr>
        <w:t>贮</w:t>
      </w:r>
      <w:r>
        <w:rPr>
          <w:rFonts w:hint="default" w:ascii="Times New Roman" w:hAnsi="Times New Roman" w:eastAsia="仿宋" w:cs="Times New Roman"/>
          <w:snapToGrid/>
          <w:spacing w:val="0"/>
          <w:kern w:val="21"/>
          <w:sz w:val="32"/>
          <w:szCs w:val="32"/>
          <w:highlight w:val="none"/>
        </w:rPr>
        <w:t>存量的比值</w:t>
      </w:r>
      <w:r>
        <w:rPr>
          <w:rFonts w:hint="default" w:ascii="Times New Roman" w:hAnsi="Times New Roman" w:eastAsia="仿宋" w:cs="Times New Roman"/>
          <w:snapToGrid/>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按下式计算。</w:t>
      </w:r>
    </w:p>
    <w:p w14:paraId="39987E5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firstLine="640" w:firstLineChars="200"/>
        <w:jc w:val="center"/>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m:oMathPara>
        <m:oMath>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K</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f>
            <m:f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fPr>
            <m:num>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Z</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r</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num>
            <m:den>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Z</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m:t>
              </m:r>
              <m:sSub>
                <m:sSubP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SubPr>
                <m:e>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Z</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e>
                <m:sub>
                  <m:r>
                    <m:rPr>
                      <m:nor/>
                    </m:rPr>
                    <w:rPr>
                      <w:rFonts w:hint="default" w:ascii="DejaVu Math TeX Gyre" w:hAnsi="DejaVu Math TeX Gyre" w:eastAsia="仿宋" w:cs="Times New Roman"/>
                      <w:i/>
                      <w:snapToGrid/>
                      <w:color w:val="000000"/>
                      <w:spacing w:val="0"/>
                      <w:kern w:val="21"/>
                      <w:sz w:val="32"/>
                      <w:szCs w:val="32"/>
                      <w:highlight w:val="none"/>
                      <w:vertAlign w:val="baseline"/>
                      <w:lang w:val="en-US" w:eastAsia="zh-CN" w:bidi="ar-SA"/>
                    </w:rPr>
                    <m:t>w</m:t>
                  </m:r>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sub>
              </m:sSub>
              <m:ctrlPr>
                <w:rPr>
                  <w:rFonts w:hint="default" w:ascii="DejaVu Math TeX Gyre" w:hAnsi="DejaVu Math TeX Gyre" w:eastAsia="仿宋" w:cs="Times New Roman"/>
                  <w:i/>
                  <w:iCs/>
                  <w:snapToGrid/>
                  <w:color w:val="000000"/>
                  <w:spacing w:val="0"/>
                  <w:kern w:val="21"/>
                  <w:sz w:val="32"/>
                  <w:szCs w:val="32"/>
                  <w:highlight w:val="none"/>
                  <w:vertAlign w:val="baseline"/>
                  <w:lang w:val="en-US" w:eastAsia="zh-CN" w:bidi="ar-SA"/>
                </w:rPr>
              </m:ctrlPr>
            </m:den>
          </m:f>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eastAsia="zh-CN" w:bidi="ar-SA"/>
            </w:rPr>
            <m:t>100</m:t>
          </m:r>
          <m:r>
            <m:rPr>
              <m:nor/>
              <m:sty m:val="p"/>
            </m:rPr>
            <w:rPr>
              <w:rFonts w:hint="default" w:ascii="DejaVu Math TeX Gyre" w:hAnsi="DejaVu Math TeX Gyre" w:eastAsia="仿宋" w:cs="Times New Roman"/>
              <w:b w:val="0"/>
              <w:i w:val="0"/>
              <w:snapToGrid/>
              <w:color w:val="000000"/>
              <w:spacing w:val="0"/>
              <w:kern w:val="21"/>
              <w:sz w:val="32"/>
              <w:szCs w:val="32"/>
              <w:highlight w:val="none"/>
              <w:vertAlign w:val="baseline"/>
              <w:lang w:val="en-US" w:bidi="ar-SA"/>
            </w:rPr>
            <m:t>%</m:t>
          </m:r>
        </m:oMath>
      </m:oMathPara>
    </w:p>
    <w:p w14:paraId="5BA992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式中：</w:t>
      </w:r>
    </w:p>
    <w:p w14:paraId="3C1BC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K</w:t>
      </w:r>
      <w:r>
        <w:rPr>
          <w:rFonts w:hint="default" w:ascii="Times New Roman" w:hAnsi="Times New Roman" w:eastAsia="仿宋" w:cs="Times New Roman"/>
          <w:i/>
          <w:iCs/>
          <w:snapToGrid/>
          <w:color w:val="000000"/>
          <w:spacing w:val="0"/>
          <w:kern w:val="21"/>
          <w:sz w:val="32"/>
          <w:szCs w:val="32"/>
          <w:highlight w:val="none"/>
          <w:vertAlign w:val="subscript"/>
          <w:lang w:val="en-US" w:eastAsia="zh-CN" w:bidi="ar-SA"/>
        </w:rPr>
        <w:t>r</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为一般</w:t>
      </w:r>
      <w:r>
        <w:rPr>
          <w:rFonts w:hint="default" w:ascii="Times New Roman" w:hAnsi="Times New Roman" w:eastAsia="仿宋" w:cs="Times New Roman"/>
          <w:snapToGrid/>
          <w:color w:val="000000"/>
          <w:spacing w:val="0"/>
          <w:kern w:val="21"/>
          <w:sz w:val="32"/>
          <w:szCs w:val="32"/>
          <w:highlight w:val="none"/>
          <w:vertAlign w:val="baseline"/>
          <w:lang w:val="en-US" w:eastAsia="zh-CN"/>
        </w:rPr>
        <w:t>工业固体废物综合利用率；</w:t>
      </w:r>
    </w:p>
    <w:p w14:paraId="1318C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w w:val="10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Z</w:t>
      </w:r>
      <w:r>
        <w:rPr>
          <w:rFonts w:hint="default" w:ascii="Times New Roman" w:hAnsi="Times New Roman" w:eastAsia="仿宋" w:cs="Times New Roman"/>
          <w:i/>
          <w:iCs/>
          <w:snapToGrid/>
          <w:color w:val="000000"/>
          <w:spacing w:val="0"/>
          <w:kern w:val="21"/>
          <w:sz w:val="32"/>
          <w:szCs w:val="32"/>
          <w:highlight w:val="none"/>
          <w:vertAlign w:val="subscript"/>
          <w:lang w:val="en-US" w:eastAsia="zh-CN" w:bidi="ar-SA"/>
        </w:rPr>
        <w:t>r</w:t>
      </w:r>
      <w:r>
        <w:rPr>
          <w:rFonts w:hint="default" w:ascii="Times New Roman" w:hAnsi="Times New Roman" w:eastAsia="仿宋" w:cs="Times New Roman"/>
          <w:i w:val="0"/>
          <w:snapToGrid/>
          <w:color w:val="000000"/>
          <w:spacing w:val="0"/>
          <w:w w:val="100"/>
          <w:kern w:val="21"/>
          <w:sz w:val="32"/>
          <w:szCs w:val="32"/>
          <w:highlight w:val="none"/>
          <w:vertAlign w:val="baseline"/>
          <w:lang w:val="en-US" w:eastAsia="zh-CN" w:bidi="ar-SA"/>
        </w:rPr>
        <w:t>为</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评价年</w:t>
      </w:r>
      <w:r>
        <w:rPr>
          <w:rFonts w:hint="default" w:ascii="Times New Roman" w:hAnsi="Times New Roman" w:eastAsia="仿宋" w:cs="Times New Roman"/>
          <w:snapToGrid/>
          <w:color w:val="000000"/>
          <w:spacing w:val="0"/>
          <w:w w:val="100"/>
          <w:kern w:val="21"/>
          <w:sz w:val="32"/>
          <w:szCs w:val="32"/>
          <w:highlight w:val="none"/>
          <w:vertAlign w:val="baseline"/>
          <w:lang w:val="en-US" w:eastAsia="zh-CN"/>
        </w:rPr>
        <w:t>一般工业固体废物综合利用量（不含外购），单位为吨（t）；</w:t>
      </w:r>
    </w:p>
    <w:p w14:paraId="63AA4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Z</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评价年</w:t>
      </w:r>
      <w:r>
        <w:rPr>
          <w:rFonts w:hint="default" w:ascii="Times New Roman" w:hAnsi="Times New Roman" w:eastAsia="仿宋" w:cs="Times New Roman"/>
          <w:snapToGrid/>
          <w:color w:val="000000"/>
          <w:spacing w:val="0"/>
          <w:w w:val="100"/>
          <w:kern w:val="21"/>
          <w:sz w:val="32"/>
          <w:szCs w:val="32"/>
          <w:highlight w:val="none"/>
          <w:vertAlign w:val="baseline"/>
          <w:lang w:val="en-US" w:eastAsia="zh-CN"/>
        </w:rPr>
        <w:t>一般</w:t>
      </w:r>
      <w:r>
        <w:rPr>
          <w:rFonts w:hint="default" w:ascii="Times New Roman" w:hAnsi="Times New Roman" w:eastAsia="仿宋" w:cs="Times New Roman"/>
          <w:snapToGrid/>
          <w:color w:val="000000"/>
          <w:spacing w:val="0"/>
          <w:kern w:val="21"/>
          <w:sz w:val="32"/>
          <w:szCs w:val="32"/>
          <w:highlight w:val="none"/>
          <w:vertAlign w:val="baseline"/>
          <w:lang w:val="en-US" w:eastAsia="zh-CN"/>
        </w:rPr>
        <w:t>工业固体废物产生量，单位为吨（t）；</w:t>
      </w:r>
    </w:p>
    <w:p w14:paraId="1F71B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t>Z</w:t>
      </w:r>
      <w:r>
        <w:rPr>
          <w:rFonts w:hint="default" w:ascii="Times New Roman" w:hAnsi="Times New Roman" w:eastAsia="仿宋" w:cs="Times New Roman"/>
          <w:i/>
          <w:iCs/>
          <w:snapToGrid/>
          <w:color w:val="000000"/>
          <w:spacing w:val="0"/>
          <w:kern w:val="21"/>
          <w:sz w:val="32"/>
          <w:szCs w:val="32"/>
          <w:highlight w:val="none"/>
          <w:vertAlign w:val="subscript"/>
          <w:lang w:val="en-US" w:eastAsia="zh-CN" w:bidi="ar-SA"/>
        </w:rPr>
        <w:t>w</w:t>
      </w:r>
      <w:r>
        <w:rPr>
          <w:rFonts w:hint="default" w:ascii="Times New Roman" w:hAnsi="Times New Roman" w:eastAsia="仿宋" w:cs="Times New Roman"/>
          <w:i w:val="0"/>
          <w:snapToGrid/>
          <w:color w:val="000000"/>
          <w:spacing w:val="0"/>
          <w:kern w:val="21"/>
          <w:sz w:val="32"/>
          <w:szCs w:val="32"/>
          <w:highlight w:val="none"/>
          <w:vertAlign w:val="baseline"/>
          <w:lang w:val="en-US" w:eastAsia="zh-CN" w:bidi="ar-SA"/>
        </w:rPr>
        <w:t>为</w:t>
      </w:r>
      <w:r>
        <w:rPr>
          <w:rFonts w:hint="default" w:ascii="Times New Roman" w:hAnsi="Times New Roman" w:eastAsia="仿宋" w:cs="Times New Roman"/>
          <w:i w:val="0"/>
          <w:iCs/>
          <w:snapToGrid/>
          <w:color w:val="000000"/>
          <w:spacing w:val="0"/>
          <w:kern w:val="21"/>
          <w:sz w:val="32"/>
          <w:szCs w:val="32"/>
          <w:highlight w:val="none"/>
          <w:vertAlign w:val="baseline"/>
          <w:lang w:val="en-US" w:eastAsia="zh-CN" w:bidi="ar-SA"/>
        </w:rPr>
        <w:t>评价年</w:t>
      </w:r>
      <w:r>
        <w:rPr>
          <w:rFonts w:hint="default" w:ascii="Times New Roman" w:hAnsi="Times New Roman" w:eastAsia="仿宋" w:cs="Times New Roman"/>
          <w:snapToGrid/>
          <w:color w:val="000000"/>
          <w:spacing w:val="0"/>
          <w:kern w:val="21"/>
          <w:sz w:val="32"/>
          <w:szCs w:val="32"/>
          <w:highlight w:val="none"/>
          <w:vertAlign w:val="baseline"/>
          <w:lang w:val="en-US" w:eastAsia="zh-CN"/>
        </w:rPr>
        <w:t>综合利用往年贮存</w:t>
      </w:r>
      <w:r>
        <w:rPr>
          <w:rFonts w:hint="default" w:ascii="Times New Roman" w:hAnsi="Times New Roman" w:eastAsia="仿宋" w:cs="Times New Roman"/>
          <w:snapToGrid/>
          <w:color w:val="000000"/>
          <w:spacing w:val="0"/>
          <w:w w:val="100"/>
          <w:kern w:val="21"/>
          <w:sz w:val="32"/>
          <w:szCs w:val="32"/>
          <w:highlight w:val="none"/>
          <w:vertAlign w:val="baseline"/>
          <w:lang w:val="en-US" w:eastAsia="zh-CN"/>
        </w:rPr>
        <w:t>一般工业固体废物</w:t>
      </w:r>
      <w:r>
        <w:rPr>
          <w:rFonts w:hint="default" w:ascii="Times New Roman" w:hAnsi="Times New Roman" w:eastAsia="仿宋" w:cs="Times New Roman"/>
          <w:snapToGrid/>
          <w:color w:val="000000"/>
          <w:spacing w:val="0"/>
          <w:kern w:val="21"/>
          <w:sz w:val="32"/>
          <w:szCs w:val="32"/>
          <w:highlight w:val="none"/>
          <w:vertAlign w:val="baseline"/>
          <w:lang w:val="en-US" w:eastAsia="zh-CN"/>
        </w:rPr>
        <w:t>量，单位为吨（t）。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Math TeX Gyre">
    <w:altName w:val="Cambria Math"/>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C4B1220"/>
    <w:rsid w:val="3C4B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2026-01-14T08:57:00Z</dcterms:created>
  <dc:creator>杨祖德</dc:creator>
  <cp:lastModifiedBy>杨祖德</cp:lastModifiedBy>
  <dcterms:modified xsi:type="dcterms:W3CDTF">2026-01-14T08:58:21Z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C4E713B9574E4A7E8500A481CE7C9DAF_11</vt:lpwstr>
  </property>
</Properties>
</file>