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75BD2">
      <w:pPr>
        <w:pStyle w:val="2"/>
        <w:keepNext w:val="0"/>
        <w:keepLines w:val="0"/>
        <w:topLinePunct/>
        <w:autoSpaceDE/>
        <w:autoSpaceDN/>
        <w:spacing w:before="0" w:beforeLines="0" w:after="0" w:afterLines="0" w:line="560" w:lineRule="exact"/>
        <w:rPr>
          <w:rFonts w:hint="eastAsia" w:ascii="黑体" w:hAnsi="黑体" w:eastAsia="黑体" w:cs="黑体"/>
          <w:b w:val="0"/>
          <w:kern w:val="0"/>
          <w:sz w:val="32"/>
          <w:szCs w:val="32"/>
          <w:lang w:eastAsia="zh-CN"/>
        </w:rPr>
      </w:pPr>
      <w:r>
        <w:rPr>
          <w:rFonts w:hint="eastAsia" w:ascii="黑体" w:hAnsi="黑体" w:eastAsia="黑体" w:cs="黑体"/>
          <w:b w:val="0"/>
          <w:kern w:val="0"/>
          <w:sz w:val="32"/>
          <w:szCs w:val="32"/>
          <w:lang w:eastAsia="zh-CN"/>
        </w:rPr>
        <w:t>附件 2</w:t>
      </w:r>
    </w:p>
    <w:p w14:paraId="590BCAC7">
      <w:pPr>
        <w:topLinePunct/>
        <w:autoSpaceDE/>
        <w:autoSpaceDN/>
        <w:spacing w:beforeLines="0" w:afterLines="0" w:line="700" w:lineRule="exact"/>
        <w:jc w:val="center"/>
        <w:outlineLvl w:val="0"/>
        <w:rPr>
          <w:rFonts w:hint="eastAsia" w:ascii="华文中宋" w:hAnsi="华文中宋" w:eastAsia="华文中宋" w:cs="华文中宋"/>
          <w:b/>
          <w:sz w:val="36"/>
          <w:szCs w:val="36"/>
          <w:lang w:eastAsia="zh-CN"/>
        </w:rPr>
      </w:pPr>
      <w:bookmarkStart w:id="0" w:name="_GoBack"/>
      <w:r>
        <w:rPr>
          <w:rFonts w:hint="eastAsia" w:ascii="华文中宋" w:hAnsi="华文中宋" w:eastAsia="华文中宋" w:cs="华文中宋"/>
          <w:b/>
          <w:sz w:val="36"/>
          <w:szCs w:val="36"/>
          <w:lang w:eastAsia="zh-CN"/>
        </w:rPr>
        <w:t>上海市零碳园区建设指标体系</w:t>
      </w:r>
    </w:p>
    <w:bookmarkEnd w:id="0"/>
    <w:p w14:paraId="19CC0201">
      <w:pPr>
        <w:spacing w:beforeLines="0" w:afterLines="0"/>
        <w:rPr>
          <w:rFonts w:hint="default"/>
          <w:sz w:val="36"/>
          <w:szCs w:val="36"/>
          <w:lang w:eastAsia="zh-CN"/>
        </w:rPr>
      </w:pPr>
    </w:p>
    <w:p w14:paraId="4D6291FB">
      <w:pPr>
        <w:pStyle w:val="3"/>
        <w:keepNext w:val="0"/>
        <w:keepLines w:val="0"/>
        <w:numPr>
          <w:ilvl w:val="0"/>
          <w:numId w:val="1"/>
        </w:numPr>
        <w:topLinePunct/>
        <w:autoSpaceDE/>
        <w:autoSpaceDN/>
        <w:spacing w:before="0" w:beforeLines="0" w:after="0" w:afterLines="0" w:line="560" w:lineRule="exact"/>
        <w:ind w:firstLine="619" w:firstLineChars="200"/>
        <w:rPr>
          <w:rFonts w:hint="default"/>
          <w:sz w:val="32"/>
          <w:szCs w:val="21"/>
          <w:lang w:eastAsia="zh-CN"/>
        </w:rPr>
      </w:pPr>
      <w:r>
        <w:rPr>
          <w:rFonts w:hint="eastAsia"/>
          <w:sz w:val="32"/>
          <w:szCs w:val="21"/>
          <w:lang w:eastAsia="zh-CN"/>
        </w:rPr>
        <w:t>指标体系构成</w:t>
      </w:r>
    </w:p>
    <w:p w14:paraId="08BEDE03">
      <w:pPr>
        <w:topLinePunct/>
        <w:autoSpaceDE/>
        <w:autoSpaceDN/>
        <w:spacing w:beforeLines="0" w:afterLines="0" w:line="560" w:lineRule="exact"/>
        <w:ind w:firstLine="619"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核心指标：</w:t>
      </w:r>
      <w:r>
        <w:rPr>
          <w:rFonts w:hint="eastAsia" w:ascii="仿宋_GB2312" w:hAnsi="仿宋_GB2312" w:eastAsia="仿宋_GB2312" w:cs="仿宋_GB2312"/>
          <w:sz w:val="32"/>
          <w:szCs w:val="32"/>
          <w:lang w:eastAsia="zh-CN"/>
        </w:rPr>
        <w:t>零碳园区建设必须达到的目标，是园区验收评估的首要条件，达不到核心指标要求的园区，原则上不得申请验收。</w:t>
      </w:r>
    </w:p>
    <w:p w14:paraId="79020FB4">
      <w:pPr>
        <w:topLinePunct/>
        <w:autoSpaceDE/>
        <w:autoSpaceDN/>
        <w:spacing w:beforeLines="0" w:afterLines="0" w:line="560" w:lineRule="exact"/>
        <w:ind w:firstLine="619" w:firstLineChars="200"/>
        <w:rPr>
          <w:rFonts w:hint="default" w:ascii="Times New Roman" w:hAnsi="Times New Roman" w:eastAsia="仿宋_GB2312" w:cs="Times New Roman"/>
          <w:sz w:val="32"/>
          <w:szCs w:val="32"/>
          <w:lang w:eastAsia="zh-CN"/>
        </w:rPr>
      </w:pPr>
      <w:r>
        <w:rPr>
          <w:rFonts w:hint="eastAsia" w:ascii="仿宋_GB2312" w:hAnsi="仿宋_GB2312" w:eastAsia="仿宋_GB2312" w:cs="仿宋_GB2312"/>
          <w:b/>
          <w:sz w:val="32"/>
          <w:szCs w:val="32"/>
          <w:lang w:eastAsia="zh-CN"/>
        </w:rPr>
        <w:t>引导指标</w:t>
      </w:r>
      <w:r>
        <w:rPr>
          <w:rFonts w:hint="eastAsia" w:ascii="仿宋_GB2312" w:hAnsi="仿宋_GB2312" w:eastAsia="仿宋_GB2312" w:cs="仿宋_GB2312"/>
          <w:sz w:val="32"/>
          <w:szCs w:val="32"/>
          <w:lang w:eastAsia="zh-CN"/>
        </w:rPr>
        <w:t>：用于引导建设路径，并作为验收参考。确因客观条件无法开展相关工作的，园区可在申报材料中说明，相关指标不纳入验收要求。</w:t>
      </w:r>
    </w:p>
    <w:p w14:paraId="68534D0D">
      <w:pPr>
        <w:topLinePunct/>
        <w:autoSpaceDE/>
        <w:autoSpaceDN/>
        <w:spacing w:beforeLines="0" w:afterLines="0" w:line="560" w:lineRule="exact"/>
        <w:ind w:firstLine="619" w:firstLineChars="200"/>
        <w:jc w:val="both"/>
        <w:rPr>
          <w:rFonts w:hint="eastAsia" w:ascii="仿宋_GB2312" w:hAnsi="仿宋_GB2312" w:eastAsia="仿宋_GB2312" w:cs="仿宋_GB2312"/>
          <w:sz w:val="32"/>
          <w:szCs w:val="32"/>
          <w:lang w:eastAsia="zh-CN"/>
        </w:rPr>
      </w:pPr>
      <w:r>
        <w:rPr>
          <w:rFonts w:hint="eastAsia" w:ascii="Times New Roman" w:hAnsi="Times New Roman" w:eastAsia="仿宋_GB2312" w:cs="Times New Roman"/>
          <w:b/>
          <w:sz w:val="32"/>
          <w:szCs w:val="32"/>
          <w:lang w:eastAsia="zh-CN"/>
        </w:rPr>
        <w:t>特色指标：</w:t>
      </w:r>
      <w:r>
        <w:rPr>
          <w:rFonts w:hint="eastAsia" w:ascii="Times New Roman" w:hAnsi="Times New Roman" w:eastAsia="仿宋_GB2312" w:cs="Times New Roman"/>
          <w:sz w:val="32"/>
          <w:szCs w:val="32"/>
          <w:lang w:eastAsia="zh-CN"/>
        </w:rPr>
        <w:t>体现园区自身特色的指标。园区可自行提出并经评估认可，也可从特色指标库中选取，数量不少于4个。</w:t>
      </w:r>
    </w:p>
    <w:p w14:paraId="4D89CBD4">
      <w:pPr>
        <w:pStyle w:val="3"/>
        <w:keepNext w:val="0"/>
        <w:keepLines w:val="0"/>
        <w:numPr>
          <w:ilvl w:val="0"/>
          <w:numId w:val="1"/>
        </w:numPr>
        <w:topLinePunct/>
        <w:autoSpaceDE/>
        <w:autoSpaceDN/>
        <w:spacing w:before="0" w:beforeLines="0" w:after="0" w:afterLines="0" w:line="560" w:lineRule="exact"/>
        <w:ind w:firstLine="619" w:firstLineChars="200"/>
        <w:rPr>
          <w:rFonts w:hint="default"/>
          <w:sz w:val="32"/>
          <w:szCs w:val="21"/>
          <w:lang w:eastAsia="zh-CN"/>
        </w:rPr>
      </w:pPr>
      <w:r>
        <w:rPr>
          <w:rFonts w:hint="eastAsia"/>
          <w:sz w:val="32"/>
          <w:szCs w:val="21"/>
          <w:lang w:eastAsia="zh-CN"/>
        </w:rPr>
        <w:t>核心指标和引导指标</w:t>
      </w:r>
    </w:p>
    <w:p w14:paraId="66DF1F10">
      <w:pPr>
        <w:pStyle w:val="4"/>
        <w:keepNext w:val="0"/>
        <w:keepLines w:val="0"/>
        <w:numPr>
          <w:ilvl w:val="0"/>
          <w:numId w:val="0"/>
        </w:numPr>
        <w:tabs>
          <w:tab w:val="left" w:pos="0"/>
        </w:tabs>
        <w:topLinePunct/>
        <w:autoSpaceDE/>
        <w:autoSpaceDN/>
        <w:spacing w:before="0" w:beforeLines="0" w:after="0" w:afterLines="0" w:line="560" w:lineRule="exact"/>
        <w:ind w:firstLine="619" w:firstLineChars="200"/>
        <w:rPr>
          <w:rFonts w:hint="eastAsia" w:ascii="宋体" w:hAnsi="宋体" w:eastAsia="宋体" w:cs="宋体"/>
          <w:sz w:val="32"/>
          <w:szCs w:val="21"/>
          <w:lang w:eastAsia="zh-CN"/>
        </w:rPr>
      </w:pPr>
      <w:r>
        <w:rPr>
          <w:rFonts w:hint="eastAsia" w:ascii="宋体" w:hAnsi="宋体" w:eastAsia="宋体" w:cs="宋体"/>
          <w:sz w:val="32"/>
          <w:szCs w:val="21"/>
          <w:lang w:eastAsia="zh-CN"/>
        </w:rPr>
        <w:t>（一）工业园区</w:t>
      </w:r>
    </w:p>
    <w:p w14:paraId="386EC302">
      <w:pPr>
        <w:topLinePunct/>
        <w:autoSpaceDE/>
        <w:autoSpaceDN/>
        <w:spacing w:beforeLines="0" w:after="120" w:afterLines="50" w:line="560" w:lineRule="exact"/>
        <w:ind w:firstLine="616" w:firstLineChars="200"/>
        <w:rPr>
          <w:rFonts w:hint="default" w:ascii="Times New Roman Regular" w:hAnsi="Times New Roman Regular" w:eastAsia="仿宋_GB2312" w:cs="Times New Roman Regular"/>
          <w:sz w:val="32"/>
          <w:szCs w:val="32"/>
          <w:lang w:eastAsia="zh-CN"/>
        </w:rPr>
      </w:pPr>
      <w:r>
        <w:rPr>
          <w:rFonts w:hint="eastAsia" w:ascii="Times New Roman Regular" w:hAnsi="Times New Roman Regular" w:eastAsia="仿宋_GB2312" w:cs="Times New Roman Regular"/>
          <w:sz w:val="32"/>
          <w:szCs w:val="32"/>
          <w:lang w:eastAsia="zh-CN"/>
        </w:rPr>
        <w:t>工业园区零碳园区建设核心指标和引导指标参见表1。</w:t>
      </w:r>
    </w:p>
    <w:p w14:paraId="65D18063">
      <w:pPr>
        <w:topLinePunct/>
        <w:autoSpaceDE/>
        <w:autoSpaceDN/>
        <w:spacing w:beforeLines="0" w:afterLines="0"/>
        <w:jc w:val="center"/>
        <w:rPr>
          <w:rFonts w:hint="default" w:ascii="Times New Roman" w:hAnsi="Times New Roman" w:eastAsia="黑体" w:cs="Times New Roman"/>
          <w:sz w:val="24"/>
          <w:szCs w:val="24"/>
          <w:lang w:eastAsia="zh-CN"/>
        </w:rPr>
      </w:pPr>
      <w:r>
        <w:rPr>
          <w:rFonts w:hint="eastAsia" w:ascii="Times New Roman" w:hAnsi="Times New Roman" w:eastAsia="黑体" w:cs="Times New Roman"/>
          <w:sz w:val="24"/>
          <w:szCs w:val="24"/>
          <w:lang w:eastAsia="zh-CN"/>
        </w:rPr>
        <w:t>表1  工业园区零碳园区建设核心指标和引导指标</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872"/>
        <w:gridCol w:w="3566"/>
      </w:tblGrid>
      <w:tr w14:paraId="36EF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10ABE2">
            <w:pPr>
              <w:topLinePunct/>
              <w:autoSpaceDE/>
              <w:autoSpaceDN/>
              <w:spacing w:beforeLines="0" w:afterLines="0"/>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指标类型</w:t>
            </w: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F572E5">
            <w:pPr>
              <w:topLinePunct/>
              <w:autoSpaceDE/>
              <w:autoSpaceDN/>
              <w:spacing w:beforeLines="0" w:afterLines="0"/>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指标名称</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8B6C39">
            <w:pPr>
              <w:topLinePunct/>
              <w:autoSpaceDE/>
              <w:autoSpaceDN/>
              <w:spacing w:beforeLines="0" w:afterLines="0"/>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目标要求</w:t>
            </w:r>
          </w:p>
        </w:tc>
      </w:tr>
      <w:tr w14:paraId="2285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4654F7">
            <w:pPr>
              <w:pStyle w:val="9"/>
              <w:topLinePunct/>
              <w:autoSpaceDE/>
              <w:autoSpaceDN/>
              <w:spacing w:beforeLines="0" w:afterLines="0" w:line="237" w:lineRule="auto"/>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rPr>
              <w:t>核心指标</w:t>
            </w: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5A3240">
            <w:pPr>
              <w:pStyle w:val="9"/>
              <w:topLinePunct/>
              <w:autoSpaceDE/>
              <w:autoSpaceDN/>
              <w:spacing w:beforeLines="0" w:afterLines="0" w:line="236" w:lineRule="auto"/>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rPr>
              <w:t>单位能耗碳排放</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92C13A">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eastAsia="zh-CN"/>
              </w:rPr>
              <w:t>0.8</w:t>
            </w:r>
            <w:r>
              <w:rPr>
                <w:rFonts w:hint="eastAsia" w:ascii="Times New Roman" w:hAnsi="Times New Roman" w:eastAsia="仿宋_GB2312" w:cs="Times New Roman"/>
                <w:sz w:val="21"/>
                <w:szCs w:val="21"/>
                <w:lang w:eastAsia="zh-CN"/>
              </w:rPr>
              <w:t>吨/吨标准煤</w:t>
            </w:r>
          </w:p>
        </w:tc>
      </w:tr>
      <w:tr w14:paraId="7E42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AFA9E77">
            <w:pPr>
              <w:topLinePunct/>
              <w:autoSpaceDE/>
              <w:autoSpaceDN/>
              <w:spacing w:beforeLines="0" w:afterLines="0"/>
              <w:jc w:val="center"/>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rPr>
              <w:t>引导指标</w:t>
            </w: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A00B16">
            <w:pPr>
              <w:pStyle w:val="9"/>
              <w:topLinePunct/>
              <w:autoSpaceDE/>
              <w:autoSpaceDN/>
              <w:spacing w:beforeLines="0" w:afterLines="0" w:line="237" w:lineRule="auto"/>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rPr>
              <w:t>清洁能源消费占比</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CB45D6">
            <w:pPr>
              <w:pStyle w:val="9"/>
              <w:topLinePunct/>
              <w:autoSpaceDE/>
              <w:autoSpaceDN/>
              <w:spacing w:beforeLines="0" w:afterLines="0" w:line="236" w:lineRule="auto"/>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90%</w:t>
            </w:r>
          </w:p>
        </w:tc>
      </w:tr>
      <w:tr w14:paraId="5FDF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D5B287">
            <w:pPr>
              <w:topLinePunct/>
              <w:autoSpaceDE/>
              <w:autoSpaceDN/>
              <w:spacing w:beforeLines="0" w:afterLines="0"/>
              <w:jc w:val="center"/>
              <w:rPr>
                <w:rFonts w:hint="default" w:ascii="Times New Roman" w:hAnsi="Times New Roman" w:eastAsia="仿宋_GB2312" w:cs="Times New Roman"/>
                <w:sz w:val="21"/>
                <w:szCs w:val="21"/>
              </w:rPr>
            </w:pP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B430A9">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可利用建筑屋顶光伏覆盖率</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652E86">
            <w:pPr>
              <w:pStyle w:val="9"/>
              <w:topLinePunct/>
              <w:autoSpaceDE/>
              <w:autoSpaceDN/>
              <w:spacing w:beforeLines="0" w:afterLines="0"/>
              <w:jc w:val="center"/>
              <w:rPr>
                <w:rFonts w:hint="default" w:ascii="Times New Roman" w:hAnsi="Times New Roman" w:eastAsia="仿宋_GB2312" w:cs="Times New Roman"/>
                <w:sz w:val="21"/>
                <w:szCs w:val="21"/>
                <w:highlight w:val="yellow"/>
                <w:lang w:eastAsia="zh-CN"/>
              </w:rPr>
            </w:pPr>
            <w:r>
              <w:rPr>
                <w:rFonts w:hint="default" w:ascii="Times New Roman" w:hAnsi="Times New Roman" w:eastAsia="仿宋_GB2312" w:cs="Times New Roman"/>
                <w:sz w:val="21"/>
                <w:szCs w:val="21"/>
                <w:lang w:eastAsia="zh-CN"/>
              </w:rPr>
              <w:t>100%</w:t>
            </w:r>
          </w:p>
        </w:tc>
      </w:tr>
      <w:tr w14:paraId="2D01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07A879">
            <w:pPr>
              <w:topLinePunct/>
              <w:autoSpaceDE/>
              <w:autoSpaceDN/>
              <w:spacing w:beforeLines="0" w:afterLines="0"/>
              <w:jc w:val="center"/>
              <w:rPr>
                <w:rFonts w:hint="default" w:ascii="Times New Roman" w:hAnsi="Times New Roman" w:eastAsia="仿宋_GB2312" w:cs="Times New Roman"/>
                <w:sz w:val="21"/>
                <w:szCs w:val="21"/>
                <w:lang w:eastAsia="zh-CN"/>
              </w:rPr>
            </w:pP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0C6A76">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bidi="ar"/>
              </w:rPr>
              <w:t>绿电直供比例</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8C1311">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≥40</w:t>
            </w:r>
            <w:r>
              <w:rPr>
                <w:rFonts w:hint="default" w:ascii="Times New Roman" w:hAnsi="Times New Roman" w:eastAsia="仿宋_GB2312" w:cs="Times New Roman"/>
                <w:sz w:val="21"/>
                <w:szCs w:val="21"/>
              </w:rPr>
              <w:t>%</w:t>
            </w:r>
          </w:p>
        </w:tc>
      </w:tr>
      <w:tr w14:paraId="1292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E37039">
            <w:pPr>
              <w:topLinePunct/>
              <w:autoSpaceDE/>
              <w:autoSpaceDN/>
              <w:spacing w:beforeLines="0" w:afterLines="0"/>
              <w:jc w:val="center"/>
              <w:rPr>
                <w:rFonts w:hint="default" w:ascii="Times New Roman" w:hAnsi="Times New Roman" w:eastAsia="仿宋_GB2312" w:cs="Times New Roman"/>
                <w:sz w:val="21"/>
                <w:szCs w:val="21"/>
              </w:rPr>
            </w:pP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85DDF7">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园区企业产出产品单位能耗</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8018A4">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达到或优于能耗限额2级或准入值</w:t>
            </w:r>
          </w:p>
        </w:tc>
      </w:tr>
      <w:tr w14:paraId="3B2B7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FB8579">
            <w:pPr>
              <w:topLinePunct/>
              <w:autoSpaceDE/>
              <w:autoSpaceDN/>
              <w:spacing w:beforeLines="0" w:afterLines="0"/>
              <w:jc w:val="center"/>
              <w:rPr>
                <w:rFonts w:hint="default" w:ascii="Times New Roman" w:hAnsi="Times New Roman" w:eastAsia="仿宋_GB2312" w:cs="Times New Roman"/>
                <w:sz w:val="21"/>
                <w:szCs w:val="21"/>
                <w:lang w:eastAsia="zh-CN"/>
              </w:rPr>
            </w:pP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CF6AEF">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重点企业能效水平达到行业标杆的比例</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88A6F9">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≥3</w:t>
            </w:r>
            <w:r>
              <w:rPr>
                <w:rFonts w:hint="default" w:ascii="Times New Roman" w:hAnsi="Times New Roman" w:eastAsia="仿宋_GB2312" w:cs="Times New Roman"/>
                <w:sz w:val="21"/>
                <w:szCs w:val="21"/>
                <w:lang w:eastAsia="zh-CN"/>
              </w:rPr>
              <w:t>0</w:t>
            </w:r>
            <w:r>
              <w:rPr>
                <w:rFonts w:hint="eastAsia" w:ascii="Times New Roman" w:hAnsi="Times New Roman" w:eastAsia="仿宋_GB2312" w:cs="Times New Roman"/>
                <w:sz w:val="21"/>
                <w:szCs w:val="21"/>
                <w:lang w:eastAsia="zh-CN"/>
              </w:rPr>
              <w:t>%</w:t>
            </w:r>
          </w:p>
        </w:tc>
      </w:tr>
      <w:tr w14:paraId="51A3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DE32F2">
            <w:pPr>
              <w:topLinePunct/>
              <w:autoSpaceDE/>
              <w:autoSpaceDN/>
              <w:spacing w:beforeLines="0" w:afterLines="0"/>
              <w:jc w:val="center"/>
              <w:rPr>
                <w:rFonts w:hint="default" w:ascii="Times New Roman" w:hAnsi="Times New Roman" w:eastAsia="仿宋_GB2312" w:cs="Times New Roman"/>
                <w:sz w:val="21"/>
                <w:szCs w:val="21"/>
                <w:lang w:eastAsia="zh-CN"/>
              </w:rPr>
            </w:pP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5C250B">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工业固体废物产生强度近三年累计降幅</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ECBEE9">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eastAsia="zh-CN"/>
              </w:rPr>
              <w:t>10%</w:t>
            </w:r>
          </w:p>
        </w:tc>
      </w:tr>
      <w:tr w14:paraId="5958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3A554D">
            <w:pPr>
              <w:topLinePunct/>
              <w:autoSpaceDE/>
              <w:autoSpaceDN/>
              <w:spacing w:beforeLines="0" w:afterLines="0"/>
              <w:jc w:val="center"/>
              <w:rPr>
                <w:rFonts w:hint="default" w:ascii="Times New Roman" w:hAnsi="Times New Roman" w:eastAsia="仿宋_GB2312" w:cs="Times New Roman"/>
                <w:sz w:val="21"/>
                <w:szCs w:val="21"/>
              </w:rPr>
            </w:pP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7C3E8D">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余热/余冷/余压综合利用率</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A71DE7">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50%</w:t>
            </w:r>
          </w:p>
        </w:tc>
      </w:tr>
      <w:tr w14:paraId="11A7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29E250">
            <w:pPr>
              <w:topLinePunct/>
              <w:autoSpaceDE/>
              <w:autoSpaceDN/>
              <w:spacing w:beforeLines="0" w:afterLines="0"/>
              <w:jc w:val="center"/>
              <w:rPr>
                <w:rFonts w:hint="default" w:ascii="Times New Roman" w:hAnsi="Times New Roman" w:eastAsia="仿宋_GB2312" w:cs="Times New Roman"/>
                <w:sz w:val="21"/>
                <w:szCs w:val="21"/>
              </w:rPr>
            </w:pP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44232B">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rPr>
              <w:t>工业用水重复利用率</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867DDF">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eastAsia="zh-CN"/>
              </w:rPr>
              <w:t>90</w:t>
            </w:r>
            <w:r>
              <w:rPr>
                <w:rFonts w:hint="default" w:ascii="Times New Roman" w:hAnsi="Times New Roman" w:eastAsia="仿宋_GB2312" w:cs="Times New Roman"/>
                <w:sz w:val="21"/>
                <w:szCs w:val="21"/>
              </w:rPr>
              <w:t>%</w:t>
            </w:r>
          </w:p>
        </w:tc>
      </w:tr>
      <w:tr w14:paraId="4552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7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53322C">
            <w:pPr>
              <w:topLinePunct/>
              <w:autoSpaceDE/>
              <w:autoSpaceDN/>
              <w:spacing w:beforeLines="0" w:afterLines="0"/>
              <w:jc w:val="center"/>
              <w:rPr>
                <w:rFonts w:hint="default" w:ascii="Times New Roman" w:hAnsi="Times New Roman" w:eastAsia="仿宋_GB2312" w:cs="Times New Roman"/>
                <w:sz w:val="21"/>
                <w:szCs w:val="21"/>
              </w:rPr>
            </w:pPr>
          </w:p>
        </w:tc>
        <w:tc>
          <w:tcPr>
            <w:tcW w:w="3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C2B5DA">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绿色低碳技术集成场景建设</w:t>
            </w:r>
          </w:p>
        </w:tc>
        <w:tc>
          <w:tcPr>
            <w:tcW w:w="35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01A2CD">
            <w:pPr>
              <w:pStyle w:val="9"/>
              <w:topLinePunct/>
              <w:autoSpaceDE/>
              <w:autoSpaceDN/>
              <w:spacing w:beforeLines="0" w:afterLines="0"/>
              <w:jc w:val="center"/>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至少建立1个</w:t>
            </w:r>
          </w:p>
        </w:tc>
      </w:tr>
    </w:tbl>
    <w:p w14:paraId="77D85B2B">
      <w:pPr>
        <w:spacing w:beforeLines="0" w:afterLines="0"/>
        <w:rPr>
          <w:rFonts w:hint="default"/>
          <w:b/>
          <w:sz w:val="32"/>
          <w:szCs w:val="21"/>
          <w:lang w:eastAsia="zh-CN"/>
        </w:rPr>
      </w:pPr>
    </w:p>
    <w:p w14:paraId="5784B8C6">
      <w:pPr>
        <w:pStyle w:val="4"/>
        <w:keepNext w:val="0"/>
        <w:keepLines w:val="0"/>
        <w:tabs>
          <w:tab w:val="left" w:pos="0"/>
        </w:tabs>
        <w:topLinePunct/>
        <w:autoSpaceDE/>
        <w:autoSpaceDN/>
        <w:spacing w:before="0" w:beforeLines="0" w:after="0" w:afterLines="0" w:line="560" w:lineRule="exact"/>
        <w:ind w:firstLine="619" w:firstLineChars="200"/>
        <w:rPr>
          <w:rFonts w:hint="eastAsia" w:ascii="宋体" w:hAnsi="宋体" w:eastAsia="宋体" w:cs="宋体"/>
          <w:sz w:val="32"/>
          <w:szCs w:val="21"/>
          <w:lang w:eastAsia="zh-CN"/>
        </w:rPr>
      </w:pPr>
      <w:r>
        <w:rPr>
          <w:rFonts w:hint="eastAsia" w:ascii="宋体" w:hAnsi="宋体" w:eastAsia="宋体" w:cs="宋体"/>
          <w:sz w:val="32"/>
          <w:szCs w:val="21"/>
          <w:lang w:eastAsia="zh-CN"/>
        </w:rPr>
        <w:t>（二）研发商办园区</w:t>
      </w:r>
    </w:p>
    <w:p w14:paraId="78D38D25">
      <w:pPr>
        <w:topLinePunct/>
        <w:autoSpaceDE/>
        <w:autoSpaceDN/>
        <w:spacing w:beforeLines="0" w:after="120" w:afterLines="50" w:line="560" w:lineRule="exact"/>
        <w:ind w:firstLine="616" w:firstLineChars="200"/>
        <w:rPr>
          <w:rFonts w:hint="eastAsia" w:ascii="Times New Roman Regular" w:hAnsi="Times New Roman Regular" w:eastAsia="仿宋_GB2312" w:cs="Times New Roman Regular"/>
          <w:sz w:val="32"/>
          <w:szCs w:val="32"/>
          <w:lang w:eastAsia="zh-CN"/>
        </w:rPr>
      </w:pPr>
      <w:r>
        <w:rPr>
          <w:rFonts w:hint="eastAsia" w:ascii="Times New Roman Regular" w:hAnsi="Times New Roman Regular" w:eastAsia="仿宋_GB2312" w:cs="Times New Roman Regular"/>
          <w:sz w:val="32"/>
          <w:szCs w:val="32"/>
          <w:lang w:eastAsia="zh-CN"/>
        </w:rPr>
        <w:t>研发商办园区零碳园区建设核心指标和引导指标参见表2。</w:t>
      </w:r>
    </w:p>
    <w:p w14:paraId="34182184">
      <w:pPr>
        <w:topLinePunct/>
        <w:autoSpaceDE/>
        <w:autoSpaceDN/>
        <w:spacing w:beforeLines="0" w:afterLines="0"/>
        <w:jc w:val="center"/>
        <w:rPr>
          <w:rFonts w:hint="default" w:ascii="Times New Roman" w:hAnsi="Times New Roman" w:eastAsia="黑体" w:cs="Times New Roman"/>
          <w:sz w:val="24"/>
          <w:szCs w:val="24"/>
          <w:lang w:eastAsia="zh-CN"/>
        </w:rPr>
      </w:pPr>
      <w:r>
        <w:rPr>
          <w:rFonts w:hint="eastAsia" w:ascii="Times New Roman" w:hAnsi="Times New Roman" w:eastAsia="黑体" w:cs="Times New Roman"/>
          <w:sz w:val="24"/>
          <w:szCs w:val="24"/>
          <w:lang w:eastAsia="zh-CN"/>
        </w:rPr>
        <w:t>表2  研发商办园区零碳园区建设核心指标和引导指标</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4519"/>
        <w:gridCol w:w="2782"/>
      </w:tblGrid>
      <w:tr w14:paraId="1B93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1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0ED352">
            <w:pPr>
              <w:topLinePunct/>
              <w:autoSpaceDE/>
              <w:autoSpaceDN/>
              <w:spacing w:beforeLines="0" w:afterLines="0"/>
              <w:jc w:val="center"/>
              <w:rPr>
                <w:rFonts w:hint="default" w:ascii="Times New Roman" w:hAnsi="Times New Roman" w:eastAsia="仿宋_GB2312" w:cs="Times New Roman"/>
                <w:b/>
                <w:sz w:val="21"/>
                <w:szCs w:val="21"/>
              </w:rPr>
            </w:pPr>
            <w:r>
              <w:rPr>
                <w:rFonts w:hint="eastAsia" w:ascii="Times New Roman" w:hAnsi="Times New Roman" w:eastAsia="仿宋_GB2312" w:cs="Times New Roman"/>
                <w:b/>
                <w:sz w:val="21"/>
                <w:szCs w:val="21"/>
              </w:rPr>
              <w:t>指标类型</w:t>
            </w:r>
          </w:p>
        </w:tc>
        <w:tc>
          <w:tcPr>
            <w:tcW w:w="4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4D142D">
            <w:pPr>
              <w:topLinePunct/>
              <w:autoSpaceDE/>
              <w:autoSpaceDN/>
              <w:spacing w:beforeLines="0" w:afterLines="0"/>
              <w:jc w:val="center"/>
              <w:rPr>
                <w:rFonts w:hint="default" w:ascii="Times New Roman" w:hAnsi="Times New Roman" w:eastAsia="仿宋_GB2312" w:cs="Times New Roman"/>
                <w:b/>
                <w:sz w:val="21"/>
                <w:szCs w:val="21"/>
              </w:rPr>
            </w:pPr>
            <w:r>
              <w:rPr>
                <w:rFonts w:hint="eastAsia" w:ascii="Times New Roman" w:hAnsi="Times New Roman" w:eastAsia="仿宋_GB2312" w:cs="Times New Roman"/>
                <w:b/>
                <w:sz w:val="21"/>
                <w:szCs w:val="21"/>
              </w:rPr>
              <w:t>指标名称</w:t>
            </w:r>
          </w:p>
        </w:tc>
        <w:tc>
          <w:tcPr>
            <w:tcW w:w="278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2DD7B4">
            <w:pPr>
              <w:topLinePunct/>
              <w:autoSpaceDE/>
              <w:autoSpaceDN/>
              <w:spacing w:beforeLines="0" w:afterLines="0"/>
              <w:jc w:val="center"/>
              <w:rPr>
                <w:rFonts w:hint="default" w:ascii="Times New Roman" w:hAnsi="Times New Roman" w:eastAsia="仿宋_GB2312" w:cs="Times New Roman"/>
                <w:b/>
                <w:sz w:val="21"/>
                <w:szCs w:val="21"/>
              </w:rPr>
            </w:pPr>
            <w:r>
              <w:rPr>
                <w:rFonts w:hint="eastAsia" w:ascii="Times New Roman" w:hAnsi="Times New Roman" w:eastAsia="仿宋_GB2312" w:cs="Times New Roman"/>
                <w:b/>
                <w:sz w:val="21"/>
                <w:szCs w:val="21"/>
              </w:rPr>
              <w:t>目标要求</w:t>
            </w:r>
          </w:p>
        </w:tc>
      </w:tr>
      <w:tr w14:paraId="66CF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1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BCCA70">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rPr>
              <w:t>核心指标</w:t>
            </w:r>
          </w:p>
        </w:tc>
        <w:tc>
          <w:tcPr>
            <w:tcW w:w="4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8DF377">
            <w:pPr>
              <w:pStyle w:val="9"/>
              <w:topLinePunct/>
              <w:autoSpaceDE/>
              <w:autoSpaceDN/>
              <w:spacing w:beforeLines="0" w:afterLines="0" w:line="236" w:lineRule="auto"/>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rPr>
              <w:t>单位能耗碳排放</w:t>
            </w:r>
          </w:p>
        </w:tc>
        <w:tc>
          <w:tcPr>
            <w:tcW w:w="278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95DAA4">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eastAsia="zh-CN"/>
              </w:rPr>
              <w:t>0.</w:t>
            </w:r>
            <w:r>
              <w:rPr>
                <w:rFonts w:hint="eastAsia" w:ascii="Times New Roman" w:hAnsi="Times New Roman" w:eastAsia="仿宋_GB2312" w:cs="Times New Roman"/>
                <w:sz w:val="21"/>
                <w:szCs w:val="21"/>
                <w:lang w:eastAsia="zh-CN"/>
              </w:rPr>
              <w:t>4吨/吨标准煤</w:t>
            </w:r>
          </w:p>
        </w:tc>
      </w:tr>
      <w:tr w14:paraId="5F1E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1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224A367">
            <w:pPr>
              <w:topLinePunct/>
              <w:autoSpaceDE/>
              <w:autoSpaceDN/>
              <w:spacing w:beforeLines="0" w:afterLines="0"/>
              <w:jc w:val="center"/>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rPr>
              <w:t>引导指标</w:t>
            </w:r>
          </w:p>
        </w:tc>
        <w:tc>
          <w:tcPr>
            <w:tcW w:w="4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FFAAB4">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可利用建筑屋顶光伏覆盖率</w:t>
            </w:r>
          </w:p>
        </w:tc>
        <w:tc>
          <w:tcPr>
            <w:tcW w:w="278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B56A36">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100%</w:t>
            </w:r>
          </w:p>
        </w:tc>
      </w:tr>
      <w:tr w14:paraId="08C3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1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22D8BC">
            <w:pPr>
              <w:topLinePunct/>
              <w:autoSpaceDE/>
              <w:autoSpaceDN/>
              <w:spacing w:beforeLines="0" w:afterLines="0"/>
              <w:jc w:val="center"/>
              <w:rPr>
                <w:rFonts w:hint="default" w:ascii="Times New Roman" w:hAnsi="Times New Roman" w:eastAsia="仿宋_GB2312" w:cs="Times New Roman"/>
                <w:sz w:val="21"/>
                <w:szCs w:val="21"/>
                <w:lang w:eastAsia="zh-CN"/>
              </w:rPr>
            </w:pPr>
          </w:p>
        </w:tc>
        <w:tc>
          <w:tcPr>
            <w:tcW w:w="4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AB837C">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bidi="ar"/>
              </w:rPr>
              <w:t>绿电直供比例</w:t>
            </w:r>
          </w:p>
        </w:tc>
        <w:tc>
          <w:tcPr>
            <w:tcW w:w="278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E0206F">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≥40</w:t>
            </w:r>
            <w:r>
              <w:rPr>
                <w:rFonts w:hint="default" w:ascii="Times New Roman" w:hAnsi="Times New Roman" w:eastAsia="仿宋_GB2312" w:cs="Times New Roman"/>
                <w:sz w:val="21"/>
                <w:szCs w:val="21"/>
              </w:rPr>
              <w:t>%</w:t>
            </w:r>
          </w:p>
        </w:tc>
      </w:tr>
      <w:tr w14:paraId="4A03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1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A35C21">
            <w:pPr>
              <w:topLinePunct/>
              <w:autoSpaceDE/>
              <w:autoSpaceDN/>
              <w:spacing w:beforeLines="0" w:afterLines="0"/>
              <w:jc w:val="center"/>
              <w:rPr>
                <w:rFonts w:hint="default" w:ascii="Times New Roman" w:hAnsi="Times New Roman" w:eastAsia="仿宋_GB2312" w:cs="Times New Roman"/>
                <w:sz w:val="21"/>
                <w:szCs w:val="21"/>
              </w:rPr>
            </w:pPr>
          </w:p>
        </w:tc>
        <w:tc>
          <w:tcPr>
            <w:tcW w:w="4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58A32B">
            <w:pPr>
              <w:pStyle w:val="9"/>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储能容量占日均用电量比例</w:t>
            </w:r>
          </w:p>
        </w:tc>
        <w:tc>
          <w:tcPr>
            <w:tcW w:w="278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24194E">
            <w:pPr>
              <w:pStyle w:val="9"/>
              <w:topLinePunct/>
              <w:autoSpaceDE/>
              <w:autoSpaceDN/>
              <w:spacing w:beforeLines="0" w:afterLines="0"/>
              <w:jc w:val="center"/>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eastAsia="zh-CN"/>
              </w:rPr>
              <w:t>≥日均用电量的10%</w:t>
            </w:r>
          </w:p>
        </w:tc>
      </w:tr>
      <w:tr w14:paraId="4E1A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1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953603">
            <w:pPr>
              <w:topLinePunct/>
              <w:autoSpaceDE/>
              <w:autoSpaceDN/>
              <w:spacing w:beforeLines="0" w:afterLines="0"/>
              <w:jc w:val="center"/>
              <w:rPr>
                <w:rFonts w:hint="default" w:ascii="Times New Roman" w:hAnsi="Times New Roman" w:eastAsia="仿宋_GB2312" w:cs="Times New Roman"/>
                <w:sz w:val="21"/>
                <w:szCs w:val="21"/>
              </w:rPr>
            </w:pPr>
          </w:p>
        </w:tc>
        <w:tc>
          <w:tcPr>
            <w:tcW w:w="4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274DAA">
            <w:pPr>
              <w:pStyle w:val="9"/>
              <w:topLinePunct/>
              <w:autoSpaceDE/>
              <w:autoSpaceDN/>
              <w:spacing w:beforeLines="0" w:afterLines="0"/>
              <w:rPr>
                <w:rFonts w:hint="default" w:ascii="Times New Roman" w:hAnsi="Times New Roman" w:eastAsia="仿宋_GB2312" w:cs="Times New Roman"/>
                <w:sz w:val="21"/>
                <w:szCs w:val="21"/>
                <w:lang w:eastAsia="zh-CN" w:bidi="ar"/>
              </w:rPr>
            </w:pPr>
            <w:r>
              <w:rPr>
                <w:rFonts w:hint="eastAsia" w:ascii="仿宋_GB2312" w:eastAsia="仿宋_GB2312" w:cs="仿宋_GB2312"/>
                <w:sz w:val="22"/>
                <w:szCs w:val="22"/>
                <w:lang w:eastAsia="zh-CN" w:bidi="ar"/>
              </w:rPr>
              <w:t>超低能耗、近零能耗、（近）零碳建筑占比</w:t>
            </w:r>
          </w:p>
        </w:tc>
        <w:tc>
          <w:tcPr>
            <w:tcW w:w="278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964449">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≥50%</w:t>
            </w:r>
          </w:p>
        </w:tc>
      </w:tr>
      <w:tr w14:paraId="7AF8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1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8B1978">
            <w:pPr>
              <w:topLinePunct/>
              <w:autoSpaceDE/>
              <w:autoSpaceDN/>
              <w:spacing w:beforeLines="0" w:afterLines="0"/>
              <w:jc w:val="center"/>
              <w:rPr>
                <w:rFonts w:hint="default" w:ascii="Times New Roman" w:hAnsi="Times New Roman" w:eastAsia="仿宋_GB2312" w:cs="Times New Roman"/>
                <w:sz w:val="21"/>
                <w:szCs w:val="21"/>
              </w:rPr>
            </w:pPr>
          </w:p>
        </w:tc>
        <w:tc>
          <w:tcPr>
            <w:tcW w:w="4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D9CD41">
            <w:pPr>
              <w:pStyle w:val="9"/>
              <w:topLinePunct/>
              <w:autoSpaceDE/>
              <w:autoSpaceDN/>
              <w:spacing w:beforeLines="0" w:afterLines="0"/>
              <w:rPr>
                <w:rFonts w:hint="eastAsia" w:ascii="仿宋_GB2312" w:eastAsia="仿宋_GB2312" w:cs="仿宋_GB2312"/>
                <w:sz w:val="22"/>
                <w:szCs w:val="22"/>
                <w:lang w:eastAsia="zh-CN" w:bidi="ar"/>
              </w:rPr>
            </w:pPr>
            <w:r>
              <w:rPr>
                <w:rFonts w:hint="eastAsia" w:ascii="仿宋_GB2312" w:eastAsia="仿宋_GB2312" w:cs="仿宋_GB2312"/>
                <w:sz w:val="22"/>
                <w:szCs w:val="22"/>
                <w:lang w:eastAsia="zh-CN" w:bidi="ar"/>
              </w:rPr>
              <w:t>光储直柔建筑</w:t>
            </w:r>
          </w:p>
        </w:tc>
        <w:tc>
          <w:tcPr>
            <w:tcW w:w="278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D48435">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≥1个</w:t>
            </w:r>
          </w:p>
        </w:tc>
      </w:tr>
      <w:tr w14:paraId="2EF0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1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6C61E6">
            <w:pPr>
              <w:topLinePunct/>
              <w:autoSpaceDE/>
              <w:autoSpaceDN/>
              <w:spacing w:beforeLines="0" w:afterLines="0"/>
              <w:jc w:val="center"/>
              <w:rPr>
                <w:rFonts w:hint="default" w:ascii="Times New Roman" w:hAnsi="Times New Roman" w:eastAsia="仿宋_GB2312" w:cs="Times New Roman"/>
                <w:sz w:val="21"/>
                <w:szCs w:val="21"/>
              </w:rPr>
            </w:pPr>
          </w:p>
        </w:tc>
        <w:tc>
          <w:tcPr>
            <w:tcW w:w="4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E767B1">
            <w:pPr>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园区智慧能碳管理平台</w:t>
            </w:r>
          </w:p>
        </w:tc>
        <w:tc>
          <w:tcPr>
            <w:tcW w:w="278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2BE13F">
            <w:pPr>
              <w:pStyle w:val="9"/>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1个</w:t>
            </w:r>
          </w:p>
        </w:tc>
      </w:tr>
      <w:tr w14:paraId="2F9E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1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C4CE1B">
            <w:pPr>
              <w:topLinePunct/>
              <w:autoSpaceDE/>
              <w:autoSpaceDN/>
              <w:spacing w:beforeLines="0" w:afterLines="0"/>
              <w:jc w:val="center"/>
              <w:rPr>
                <w:rFonts w:hint="default" w:ascii="Times New Roman" w:hAnsi="Times New Roman" w:eastAsia="仿宋_GB2312" w:cs="Times New Roman"/>
                <w:sz w:val="21"/>
                <w:szCs w:val="21"/>
              </w:rPr>
            </w:pPr>
          </w:p>
        </w:tc>
        <w:tc>
          <w:tcPr>
            <w:tcW w:w="4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795568">
            <w:pPr>
              <w:topLinePunct/>
              <w:autoSpaceDE/>
              <w:autoSpaceDN/>
              <w:spacing w:beforeLines="0" w:afterLines="0"/>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绿色低碳技术集成场景建设</w:t>
            </w:r>
          </w:p>
        </w:tc>
        <w:tc>
          <w:tcPr>
            <w:tcW w:w="278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94A92C">
            <w:pPr>
              <w:topLinePunct/>
              <w:autoSpaceDE/>
              <w:autoSpaceDN/>
              <w:spacing w:beforeLines="0" w:afterLines="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至少建立1个</w:t>
            </w:r>
          </w:p>
        </w:tc>
      </w:tr>
    </w:tbl>
    <w:p w14:paraId="71141075">
      <w:pPr>
        <w:pStyle w:val="4"/>
        <w:keepNext w:val="0"/>
        <w:keepLines w:val="0"/>
        <w:tabs>
          <w:tab w:val="left" w:pos="0"/>
        </w:tabs>
        <w:topLinePunct/>
        <w:autoSpaceDE/>
        <w:autoSpaceDN/>
        <w:spacing w:before="0" w:beforeLines="0" w:after="0" w:afterLines="0" w:line="560" w:lineRule="exact"/>
        <w:ind w:firstLine="619" w:firstLineChars="200"/>
        <w:rPr>
          <w:rFonts w:hint="eastAsia" w:ascii="宋体" w:hAnsi="宋体" w:eastAsia="宋体" w:cs="宋体"/>
          <w:sz w:val="32"/>
          <w:szCs w:val="21"/>
          <w:lang w:eastAsia="zh-CN"/>
        </w:rPr>
      </w:pPr>
      <w:r>
        <w:rPr>
          <w:rFonts w:hint="eastAsia" w:ascii="宋体" w:hAnsi="宋体" w:eastAsia="宋体" w:cs="宋体"/>
          <w:sz w:val="32"/>
          <w:szCs w:val="21"/>
          <w:lang w:eastAsia="zh-CN"/>
        </w:rPr>
        <w:t>（三）物流园区</w:t>
      </w:r>
    </w:p>
    <w:p w14:paraId="7BBEDB18">
      <w:pPr>
        <w:topLinePunct/>
        <w:autoSpaceDE/>
        <w:autoSpaceDN/>
        <w:spacing w:beforeLines="0" w:after="120" w:afterLines="50" w:line="560" w:lineRule="exact"/>
        <w:ind w:firstLine="616" w:firstLineChars="200"/>
        <w:rPr>
          <w:rFonts w:hint="default" w:ascii="Times New Roman Regular" w:hAnsi="Times New Roman Regular" w:eastAsia="仿宋_GB2312" w:cs="Times New Roman Regular"/>
          <w:sz w:val="32"/>
          <w:szCs w:val="32"/>
          <w:lang w:eastAsia="zh-CN"/>
        </w:rPr>
      </w:pPr>
      <w:r>
        <w:rPr>
          <w:rFonts w:hint="eastAsia" w:ascii="Times New Roman Regular" w:hAnsi="Times New Roman Regular" w:eastAsia="仿宋_GB2312" w:cs="Times New Roman Regular"/>
          <w:sz w:val="32"/>
          <w:szCs w:val="32"/>
          <w:lang w:eastAsia="zh-CN"/>
        </w:rPr>
        <w:t>物流园区零碳园区建设核心指标和引导指标参见表3。</w:t>
      </w:r>
    </w:p>
    <w:p w14:paraId="092E361C">
      <w:pPr>
        <w:topLinePunct/>
        <w:autoSpaceDE/>
        <w:autoSpaceDN/>
        <w:spacing w:beforeLines="0" w:afterLines="0"/>
        <w:jc w:val="center"/>
        <w:rPr>
          <w:rFonts w:hint="default" w:ascii="Times New Roman" w:hAnsi="Times New Roman" w:eastAsia="黑体" w:cs="Times New Roman"/>
          <w:sz w:val="24"/>
          <w:szCs w:val="24"/>
          <w:lang w:eastAsia="zh-CN"/>
        </w:rPr>
      </w:pPr>
      <w:r>
        <w:rPr>
          <w:rFonts w:hint="eastAsia" w:ascii="Times New Roman" w:hAnsi="Times New Roman" w:eastAsia="黑体" w:cs="Times New Roman"/>
          <w:sz w:val="24"/>
          <w:szCs w:val="24"/>
          <w:lang w:eastAsia="zh-CN"/>
        </w:rPr>
        <w:t>表3  物流园区零碳园区建设核心指标和引导指标</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4381"/>
        <w:gridCol w:w="3088"/>
      </w:tblGrid>
      <w:tr w14:paraId="7B60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0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9E5176">
            <w:pPr>
              <w:topLinePunct/>
              <w:autoSpaceDE/>
              <w:autoSpaceDN/>
              <w:spacing w:beforeLines="0" w:afterLines="0" w:line="280" w:lineRule="exact"/>
              <w:jc w:val="center"/>
              <w:rPr>
                <w:rFonts w:hint="default" w:ascii="Times New Roman" w:hAnsi="Times New Roman" w:eastAsia="仿宋_GB2312" w:cs="Times New Roman"/>
                <w:b/>
                <w:sz w:val="21"/>
                <w:szCs w:val="21"/>
              </w:rPr>
            </w:pPr>
            <w:r>
              <w:rPr>
                <w:rFonts w:hint="eastAsia" w:ascii="Times New Roman" w:hAnsi="Times New Roman" w:eastAsia="仿宋_GB2312" w:cs="Times New Roman"/>
                <w:b/>
                <w:sz w:val="21"/>
                <w:szCs w:val="21"/>
              </w:rPr>
              <w:t>指标类型</w:t>
            </w:r>
          </w:p>
        </w:tc>
        <w:tc>
          <w:tcPr>
            <w:tcW w:w="43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D0730B">
            <w:pPr>
              <w:topLinePunct/>
              <w:autoSpaceDE/>
              <w:autoSpaceDN/>
              <w:spacing w:beforeLines="0" w:afterLines="0" w:line="280" w:lineRule="exact"/>
              <w:jc w:val="center"/>
              <w:rPr>
                <w:rFonts w:hint="default" w:ascii="Times New Roman" w:hAnsi="Times New Roman" w:eastAsia="仿宋_GB2312" w:cs="Times New Roman"/>
                <w:b/>
                <w:sz w:val="21"/>
                <w:szCs w:val="21"/>
              </w:rPr>
            </w:pPr>
            <w:r>
              <w:rPr>
                <w:rFonts w:hint="eastAsia" w:ascii="Times New Roman" w:hAnsi="Times New Roman" w:eastAsia="仿宋_GB2312" w:cs="Times New Roman"/>
                <w:b/>
                <w:sz w:val="21"/>
                <w:szCs w:val="21"/>
              </w:rPr>
              <w:t>指标名称</w:t>
            </w:r>
          </w:p>
        </w:tc>
        <w:tc>
          <w:tcPr>
            <w:tcW w:w="30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511BD7">
            <w:pPr>
              <w:topLinePunct/>
              <w:autoSpaceDE/>
              <w:autoSpaceDN/>
              <w:spacing w:beforeLines="0" w:afterLines="0" w:line="280" w:lineRule="exact"/>
              <w:jc w:val="center"/>
              <w:rPr>
                <w:rFonts w:hint="default" w:ascii="Times New Roman" w:hAnsi="Times New Roman" w:eastAsia="仿宋_GB2312" w:cs="Times New Roman"/>
                <w:b/>
                <w:sz w:val="21"/>
                <w:szCs w:val="21"/>
              </w:rPr>
            </w:pPr>
            <w:r>
              <w:rPr>
                <w:rFonts w:hint="eastAsia" w:ascii="Times New Roman" w:hAnsi="Times New Roman" w:eastAsia="仿宋_GB2312" w:cs="Times New Roman"/>
                <w:b/>
                <w:sz w:val="21"/>
                <w:szCs w:val="21"/>
              </w:rPr>
              <w:t>目标要求</w:t>
            </w:r>
          </w:p>
        </w:tc>
      </w:tr>
      <w:tr w14:paraId="43AA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DDD46F">
            <w:pPr>
              <w:pStyle w:val="9"/>
              <w:topLinePunct/>
              <w:autoSpaceDE/>
              <w:autoSpaceDN/>
              <w:spacing w:before="91" w:beforeLines="0" w:afterLines="0" w:line="280" w:lineRule="exact"/>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rPr>
              <w:t>核心指标</w:t>
            </w:r>
          </w:p>
        </w:tc>
        <w:tc>
          <w:tcPr>
            <w:tcW w:w="43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F57E34">
            <w:pPr>
              <w:pStyle w:val="9"/>
              <w:topLinePunct/>
              <w:autoSpaceDE/>
              <w:autoSpaceDN/>
              <w:spacing w:before="91" w:beforeLines="0" w:afterLines="0" w:line="280" w:lineRule="exact"/>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rPr>
              <w:t>单位能耗碳排放</w:t>
            </w:r>
          </w:p>
        </w:tc>
        <w:tc>
          <w:tcPr>
            <w:tcW w:w="30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8095E6">
            <w:pPr>
              <w:pStyle w:val="9"/>
              <w:topLinePunct/>
              <w:autoSpaceDE/>
              <w:autoSpaceDN/>
              <w:spacing w:beforeLines="0" w:afterLines="0" w:line="280" w:lineRule="exact"/>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eastAsia="zh-CN"/>
              </w:rPr>
              <w:t>0</w:t>
            </w:r>
            <w:r>
              <w:rPr>
                <w:rFonts w:hint="eastAsia" w:ascii="Times New Roman" w:hAnsi="Times New Roman" w:eastAsia="仿宋_GB2312" w:cs="Times New Roman"/>
                <w:sz w:val="21"/>
                <w:szCs w:val="21"/>
                <w:lang w:eastAsia="zh-CN"/>
              </w:rPr>
              <w:t>.2吨/吨标准煤</w:t>
            </w:r>
          </w:p>
        </w:tc>
      </w:tr>
      <w:tr w14:paraId="4AA6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8D4DE85">
            <w:pPr>
              <w:topLinePunct/>
              <w:autoSpaceDE/>
              <w:autoSpaceDN/>
              <w:spacing w:beforeLines="0" w:afterLines="0" w:line="280" w:lineRule="exact"/>
              <w:jc w:val="center"/>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rPr>
              <w:t>引导指标</w:t>
            </w:r>
          </w:p>
        </w:tc>
        <w:tc>
          <w:tcPr>
            <w:tcW w:w="43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255517">
            <w:pPr>
              <w:pStyle w:val="9"/>
              <w:topLinePunct/>
              <w:autoSpaceDE/>
              <w:autoSpaceDN/>
              <w:spacing w:beforeLines="0" w:afterLines="0" w:line="280" w:lineRule="exact"/>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可利用建筑屋顶光伏覆盖率</w:t>
            </w:r>
          </w:p>
        </w:tc>
        <w:tc>
          <w:tcPr>
            <w:tcW w:w="30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3D3A90">
            <w:pPr>
              <w:pStyle w:val="9"/>
              <w:topLinePunct/>
              <w:autoSpaceDE/>
              <w:autoSpaceDN/>
              <w:spacing w:beforeLines="0" w:afterLines="0" w:line="280" w:lineRule="exact"/>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100%</w:t>
            </w:r>
          </w:p>
        </w:tc>
      </w:tr>
      <w:tr w14:paraId="00ED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06EF27">
            <w:pPr>
              <w:pStyle w:val="9"/>
              <w:topLinePunct/>
              <w:autoSpaceDE/>
              <w:autoSpaceDN/>
              <w:spacing w:before="91" w:beforeLines="0" w:afterLines="0" w:line="280" w:lineRule="exact"/>
              <w:jc w:val="center"/>
              <w:rPr>
                <w:rFonts w:hint="default" w:ascii="Times New Roman" w:hAnsi="Times New Roman" w:eastAsia="仿宋_GB2312" w:cs="Times New Roman"/>
                <w:sz w:val="21"/>
                <w:szCs w:val="21"/>
              </w:rPr>
            </w:pPr>
          </w:p>
        </w:tc>
        <w:tc>
          <w:tcPr>
            <w:tcW w:w="43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CE4BBA">
            <w:pPr>
              <w:pStyle w:val="9"/>
              <w:topLinePunct/>
              <w:autoSpaceDE/>
              <w:autoSpaceDN/>
              <w:spacing w:beforeLines="0" w:afterLines="0" w:line="280" w:lineRule="exact"/>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bidi="ar"/>
              </w:rPr>
              <w:t>绿电直供比例</w:t>
            </w:r>
          </w:p>
        </w:tc>
        <w:tc>
          <w:tcPr>
            <w:tcW w:w="30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87F100">
            <w:pPr>
              <w:pStyle w:val="9"/>
              <w:topLinePunct/>
              <w:autoSpaceDE/>
              <w:autoSpaceDN/>
              <w:spacing w:beforeLines="0" w:afterLines="0" w:line="280" w:lineRule="exact"/>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≥50</w:t>
            </w:r>
            <w:r>
              <w:rPr>
                <w:rFonts w:hint="default" w:ascii="Times New Roman" w:hAnsi="Times New Roman" w:eastAsia="仿宋_GB2312" w:cs="Times New Roman"/>
                <w:sz w:val="21"/>
                <w:szCs w:val="21"/>
              </w:rPr>
              <w:t>%</w:t>
            </w:r>
          </w:p>
        </w:tc>
      </w:tr>
      <w:tr w14:paraId="0617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EE800D">
            <w:pPr>
              <w:topLinePunct/>
              <w:autoSpaceDE/>
              <w:autoSpaceDN/>
              <w:spacing w:beforeLines="0" w:afterLines="0" w:line="280" w:lineRule="exact"/>
              <w:jc w:val="center"/>
              <w:rPr>
                <w:rFonts w:hint="default" w:ascii="Times New Roman" w:hAnsi="Times New Roman" w:eastAsia="仿宋_GB2312" w:cs="Times New Roman"/>
                <w:sz w:val="21"/>
                <w:szCs w:val="21"/>
              </w:rPr>
            </w:pPr>
          </w:p>
        </w:tc>
        <w:tc>
          <w:tcPr>
            <w:tcW w:w="43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3A5D55">
            <w:pPr>
              <w:pStyle w:val="9"/>
              <w:topLinePunct/>
              <w:autoSpaceDE/>
              <w:autoSpaceDN/>
              <w:spacing w:beforeLines="0" w:afterLines="0" w:line="280" w:lineRule="exact"/>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新能源物流车辆占物流车辆总规模的比例（自用型物流园区）</w:t>
            </w:r>
          </w:p>
        </w:tc>
        <w:tc>
          <w:tcPr>
            <w:tcW w:w="30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305FE3">
            <w:pPr>
              <w:pStyle w:val="9"/>
              <w:topLinePunct/>
              <w:autoSpaceDE/>
              <w:autoSpaceDN/>
              <w:spacing w:beforeLines="0" w:afterLines="0" w:line="280" w:lineRule="exact"/>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eastAsia="zh-CN"/>
              </w:rPr>
              <w:t>70%</w:t>
            </w:r>
          </w:p>
        </w:tc>
      </w:tr>
      <w:tr w14:paraId="6AAE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6C52A3">
            <w:pPr>
              <w:topLinePunct/>
              <w:autoSpaceDE/>
              <w:autoSpaceDN/>
              <w:spacing w:beforeLines="0" w:afterLines="0" w:line="280" w:lineRule="exact"/>
              <w:jc w:val="center"/>
              <w:rPr>
                <w:rFonts w:hint="default" w:ascii="Times New Roman" w:hAnsi="Times New Roman" w:eastAsia="仿宋_GB2312" w:cs="Times New Roman"/>
                <w:sz w:val="21"/>
                <w:szCs w:val="21"/>
              </w:rPr>
            </w:pPr>
          </w:p>
        </w:tc>
        <w:tc>
          <w:tcPr>
            <w:tcW w:w="43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388A27">
            <w:pPr>
              <w:pStyle w:val="9"/>
              <w:topLinePunct/>
              <w:autoSpaceDE/>
              <w:autoSpaceDN/>
              <w:spacing w:beforeLines="0" w:afterLines="0" w:line="280" w:lineRule="exact"/>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新能源物流车进场比例（公共服务型物流园区）</w:t>
            </w:r>
          </w:p>
        </w:tc>
        <w:tc>
          <w:tcPr>
            <w:tcW w:w="30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92F87F">
            <w:pPr>
              <w:pStyle w:val="9"/>
              <w:topLinePunct/>
              <w:autoSpaceDE/>
              <w:autoSpaceDN/>
              <w:spacing w:beforeLines="0" w:afterLines="0" w:line="280" w:lineRule="exact"/>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eastAsia="zh-CN"/>
              </w:rPr>
              <w:t>50%</w:t>
            </w:r>
          </w:p>
        </w:tc>
      </w:tr>
      <w:tr w14:paraId="3CDE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98722E">
            <w:pPr>
              <w:topLinePunct/>
              <w:autoSpaceDE/>
              <w:autoSpaceDN/>
              <w:spacing w:beforeLines="0" w:afterLines="0" w:line="280" w:lineRule="exact"/>
              <w:jc w:val="center"/>
              <w:rPr>
                <w:rFonts w:hint="default" w:ascii="Times New Roman" w:hAnsi="Times New Roman" w:eastAsia="仿宋_GB2312" w:cs="Times New Roman"/>
                <w:sz w:val="21"/>
                <w:szCs w:val="21"/>
              </w:rPr>
            </w:pPr>
          </w:p>
        </w:tc>
        <w:tc>
          <w:tcPr>
            <w:tcW w:w="43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2945A0">
            <w:pPr>
              <w:pStyle w:val="9"/>
              <w:topLinePunct/>
              <w:autoSpaceDE/>
              <w:autoSpaceDN/>
              <w:spacing w:beforeLines="0" w:afterLines="0" w:line="280" w:lineRule="exact"/>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开展绿色建筑相关评价认证工作</w:t>
            </w:r>
          </w:p>
        </w:tc>
        <w:tc>
          <w:tcPr>
            <w:tcW w:w="30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350579">
            <w:pPr>
              <w:pStyle w:val="9"/>
              <w:topLinePunct/>
              <w:autoSpaceDE/>
              <w:autoSpaceDN/>
              <w:spacing w:beforeLines="0" w:afterLines="0" w:line="280" w:lineRule="exact"/>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获得LEED认证、BREEM认证、绿色建筑标识、绿色仓库认定等任一高级别认证或评价</w:t>
            </w:r>
          </w:p>
        </w:tc>
      </w:tr>
      <w:tr w14:paraId="35EF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1DA2ED">
            <w:pPr>
              <w:topLinePunct/>
              <w:autoSpaceDE/>
              <w:autoSpaceDN/>
              <w:spacing w:beforeLines="0" w:afterLines="0" w:line="280" w:lineRule="exact"/>
              <w:jc w:val="center"/>
              <w:rPr>
                <w:rFonts w:hint="eastAsia" w:ascii="仿宋_GB2312" w:hAnsi="仿宋_GB2312" w:eastAsia="仿宋_GB2312" w:cs="仿宋_GB2312"/>
                <w:sz w:val="21"/>
                <w:szCs w:val="21"/>
                <w:lang w:eastAsia="zh-CN"/>
              </w:rPr>
            </w:pPr>
          </w:p>
        </w:tc>
        <w:tc>
          <w:tcPr>
            <w:tcW w:w="43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4FE22B">
            <w:pPr>
              <w:pStyle w:val="9"/>
              <w:topLinePunct/>
              <w:autoSpaceDE/>
              <w:autoSpaceDN/>
              <w:spacing w:beforeLines="0" w:afterLines="0" w:line="280" w:lineRule="exact"/>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绿色低碳技术集成场景建设</w:t>
            </w:r>
          </w:p>
        </w:tc>
        <w:tc>
          <w:tcPr>
            <w:tcW w:w="30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4E6EE8">
            <w:pPr>
              <w:pStyle w:val="9"/>
              <w:topLinePunct/>
              <w:autoSpaceDE/>
              <w:autoSpaceDN/>
              <w:spacing w:beforeLines="0" w:afterLines="0" w:line="280" w:lineRule="exact"/>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eastAsia="zh-CN"/>
              </w:rPr>
              <w:t>至少建立1个</w:t>
            </w:r>
          </w:p>
        </w:tc>
      </w:tr>
    </w:tbl>
    <w:p w14:paraId="62F4DD11">
      <w:pPr>
        <w:pStyle w:val="3"/>
        <w:keepNext w:val="0"/>
        <w:keepLines w:val="0"/>
        <w:numPr>
          <w:ilvl w:val="0"/>
          <w:numId w:val="1"/>
        </w:numPr>
        <w:topLinePunct/>
        <w:autoSpaceDE/>
        <w:autoSpaceDN/>
        <w:spacing w:before="0" w:beforeLines="0" w:after="0" w:afterLines="0" w:line="560" w:lineRule="exact"/>
        <w:ind w:firstLine="619" w:firstLineChars="200"/>
        <w:rPr>
          <w:rFonts w:hint="default"/>
          <w:sz w:val="32"/>
          <w:szCs w:val="21"/>
          <w:lang w:eastAsia="zh-CN"/>
        </w:rPr>
      </w:pPr>
      <w:r>
        <w:rPr>
          <w:rFonts w:hint="eastAsia"/>
          <w:sz w:val="32"/>
          <w:szCs w:val="21"/>
          <w:lang w:eastAsia="zh-CN"/>
        </w:rPr>
        <w:t>特色指标</w:t>
      </w:r>
    </w:p>
    <w:p w14:paraId="6AB804D9">
      <w:pPr>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特色指标库见表4。</w:t>
      </w:r>
    </w:p>
    <w:p w14:paraId="532E4166">
      <w:pPr>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rPr>
      </w:pPr>
    </w:p>
    <w:p w14:paraId="2258BCA6">
      <w:pPr>
        <w:topLinePunct/>
        <w:autoSpaceDE/>
        <w:autoSpaceDN/>
        <w:spacing w:beforeLines="0" w:afterLines="0"/>
        <w:jc w:val="center"/>
        <w:rPr>
          <w:rFonts w:hint="default" w:ascii="Times New Roman" w:hAnsi="Times New Roman" w:eastAsia="黑体" w:cs="Times New Roman"/>
          <w:sz w:val="24"/>
          <w:szCs w:val="24"/>
          <w:lang w:eastAsia="zh-CN"/>
        </w:rPr>
      </w:pPr>
    </w:p>
    <w:p w14:paraId="40B4DAA0">
      <w:pPr>
        <w:topLinePunct/>
        <w:autoSpaceDE/>
        <w:autoSpaceDN/>
        <w:spacing w:beforeLines="0" w:afterLines="0"/>
        <w:jc w:val="center"/>
        <w:rPr>
          <w:rFonts w:hint="default" w:ascii="Times New Roman" w:hAnsi="Times New Roman" w:eastAsia="黑体" w:cs="Times New Roman"/>
          <w:sz w:val="24"/>
          <w:szCs w:val="24"/>
          <w:lang w:eastAsia="zh-CN"/>
        </w:rPr>
      </w:pPr>
      <w:r>
        <w:rPr>
          <w:rFonts w:hint="eastAsia" w:ascii="Times New Roman" w:hAnsi="Times New Roman" w:eastAsia="黑体" w:cs="Times New Roman"/>
          <w:sz w:val="24"/>
          <w:szCs w:val="24"/>
          <w:lang w:eastAsia="zh-CN"/>
        </w:rPr>
        <w:t>表4  上海市零碳园区建设特色指标</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5"/>
        <w:gridCol w:w="4144"/>
        <w:gridCol w:w="853"/>
        <w:gridCol w:w="884"/>
        <w:gridCol w:w="913"/>
      </w:tblGrid>
      <w:tr w14:paraId="4A1BA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blHeader/>
          <w:jc w:val="center"/>
        </w:trPr>
        <w:tc>
          <w:tcPr>
            <w:tcW w:w="11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2C2B4F">
            <w:pPr>
              <w:topLinePunct/>
              <w:autoSpaceDE/>
              <w:autoSpaceDN/>
              <w:spacing w:beforeLines="0" w:afterLines="0" w:line="280" w:lineRule="exact"/>
              <w:jc w:val="center"/>
              <w:textAlignment w:val="center"/>
              <w:rPr>
                <w:rFonts w:hint="eastAsia" w:ascii="仿宋_GB2312" w:hAnsi="宋体" w:eastAsia="仿宋_GB2312" w:cs="仿宋_GB2312"/>
                <w:b/>
                <w:sz w:val="22"/>
                <w:szCs w:val="22"/>
              </w:rPr>
            </w:pPr>
            <w:r>
              <w:rPr>
                <w:rFonts w:hint="eastAsia" w:ascii="仿宋_GB2312" w:hAnsi="宋体" w:eastAsia="仿宋_GB2312" w:cs="仿宋_GB2312"/>
                <w:b/>
                <w:sz w:val="22"/>
                <w:szCs w:val="22"/>
                <w:lang w:eastAsia="zh-CN" w:bidi="ar"/>
              </w:rPr>
              <w:t>分类</w:t>
            </w: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FC3F0A">
            <w:pPr>
              <w:topLinePunct/>
              <w:autoSpaceDE/>
              <w:autoSpaceDN/>
              <w:spacing w:beforeLines="0" w:afterLines="0" w:line="280" w:lineRule="exact"/>
              <w:jc w:val="center"/>
              <w:textAlignment w:val="center"/>
              <w:rPr>
                <w:rFonts w:hint="eastAsia" w:ascii="仿宋_GB2312" w:hAnsi="宋体" w:eastAsia="仿宋_GB2312" w:cs="仿宋_GB2312"/>
                <w:b/>
                <w:sz w:val="22"/>
                <w:szCs w:val="22"/>
              </w:rPr>
            </w:pPr>
            <w:r>
              <w:rPr>
                <w:rFonts w:hint="eastAsia" w:ascii="仿宋_GB2312" w:hAnsi="宋体" w:eastAsia="仿宋_GB2312" w:cs="仿宋_GB2312"/>
                <w:b/>
                <w:sz w:val="22"/>
                <w:szCs w:val="22"/>
                <w:lang w:eastAsia="zh-CN" w:bidi="ar"/>
              </w:rPr>
              <w:t>指标名称</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4614AD">
            <w:pPr>
              <w:topLinePunct/>
              <w:autoSpaceDE/>
              <w:autoSpaceDN/>
              <w:spacing w:beforeLines="0" w:afterLines="0" w:line="280" w:lineRule="exact"/>
              <w:jc w:val="center"/>
              <w:textAlignment w:val="center"/>
              <w:rPr>
                <w:rFonts w:hint="eastAsia" w:ascii="仿宋_GB2312" w:hAnsi="宋体" w:eastAsia="仿宋_GB2312" w:cs="仿宋_GB2312"/>
                <w:b/>
                <w:sz w:val="22"/>
                <w:szCs w:val="22"/>
                <w:lang w:eastAsia="zh-CN"/>
              </w:rPr>
            </w:pPr>
            <w:r>
              <w:rPr>
                <w:rFonts w:hint="eastAsia" w:ascii="仿宋_GB2312" w:hAnsi="宋体" w:eastAsia="仿宋_GB2312" w:cs="仿宋_GB2312"/>
                <w:b/>
                <w:sz w:val="22"/>
                <w:szCs w:val="22"/>
                <w:lang w:eastAsia="zh-CN"/>
              </w:rPr>
              <w:t>单位</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DA85A3">
            <w:pPr>
              <w:topLinePunct/>
              <w:autoSpaceDE/>
              <w:autoSpaceDN/>
              <w:spacing w:beforeLines="0" w:afterLines="0" w:line="280" w:lineRule="exact"/>
              <w:jc w:val="center"/>
              <w:textAlignment w:val="center"/>
              <w:rPr>
                <w:rFonts w:hint="eastAsia" w:ascii="仿宋_GB2312" w:hAnsi="宋体" w:eastAsia="仿宋_GB2312" w:cs="仿宋_GB2312"/>
                <w:b/>
                <w:sz w:val="22"/>
                <w:szCs w:val="22"/>
              </w:rPr>
            </w:pPr>
            <w:r>
              <w:rPr>
                <w:rFonts w:hint="eastAsia" w:ascii="仿宋_GB2312" w:hAnsi="宋体" w:eastAsia="仿宋_GB2312" w:cs="仿宋_GB2312"/>
                <w:b/>
                <w:sz w:val="22"/>
                <w:szCs w:val="22"/>
                <w:lang w:eastAsia="zh-CN" w:bidi="ar"/>
              </w:rPr>
              <w:t>基期值</w:t>
            </w: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AFB30F">
            <w:pPr>
              <w:topLinePunct/>
              <w:autoSpaceDE/>
              <w:autoSpaceDN/>
              <w:spacing w:beforeLines="0" w:afterLines="0" w:line="280" w:lineRule="exact"/>
              <w:jc w:val="center"/>
              <w:textAlignment w:val="center"/>
              <w:rPr>
                <w:rFonts w:hint="eastAsia" w:ascii="仿宋_GB2312" w:hAnsi="宋体" w:eastAsia="仿宋_GB2312" w:cs="仿宋_GB2312"/>
                <w:b/>
                <w:sz w:val="22"/>
                <w:szCs w:val="22"/>
                <w:lang w:eastAsia="zh-CN"/>
              </w:rPr>
            </w:pPr>
            <w:r>
              <w:rPr>
                <w:rFonts w:hint="eastAsia" w:ascii="仿宋_GB2312" w:hAnsi="宋体" w:eastAsia="仿宋_GB2312" w:cs="仿宋_GB2312"/>
                <w:b/>
                <w:sz w:val="22"/>
                <w:szCs w:val="22"/>
                <w:lang w:eastAsia="zh-CN" w:bidi="ar"/>
              </w:rPr>
              <w:t>目标值</w:t>
            </w:r>
          </w:p>
        </w:tc>
      </w:tr>
      <w:tr w14:paraId="34734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blHeader/>
          <w:jc w:val="center"/>
        </w:trPr>
        <w:tc>
          <w:tcPr>
            <w:tcW w:w="1135" w:type="dxa"/>
            <w:vMerge w:val="restart"/>
            <w:tcBorders>
              <w:top w:val="single" w:color="000000" w:sz="4" w:space="0"/>
              <w:left w:val="single" w:color="000000" w:sz="4" w:space="0"/>
              <w:bottom w:val="nil"/>
              <w:right w:val="single" w:color="000000" w:sz="4" w:space="0"/>
              <w:tl2br w:val="nil"/>
              <w:tr2bl w:val="nil"/>
            </w:tcBorders>
            <w:noWrap w:val="0"/>
            <w:vAlign w:val="center"/>
          </w:tcPr>
          <w:p w14:paraId="1890D850">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能源转型</w:t>
            </w: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7A7CBA">
            <w:pPr>
              <w:topLinePunct/>
              <w:autoSpaceDE/>
              <w:autoSpaceDN/>
              <w:spacing w:beforeLines="0" w:afterLines="0" w:line="280" w:lineRule="exact"/>
              <w:jc w:val="both"/>
              <w:textAlignment w:val="center"/>
              <w:rPr>
                <w:rFonts w:hint="eastAsia" w:ascii="仿宋_GB2312" w:hAnsi="宋体" w:eastAsia="仿宋_GB2312" w:cs="仿宋_GB2312"/>
                <w:b/>
                <w:sz w:val="22"/>
                <w:szCs w:val="22"/>
                <w:lang w:eastAsia="zh-CN" w:bidi="ar"/>
              </w:rPr>
            </w:pPr>
            <w:r>
              <w:rPr>
                <w:rFonts w:hint="eastAsia" w:ascii="仿宋_GB2312" w:hAnsi="宋体" w:eastAsia="仿宋_GB2312" w:cs="仿宋_GB2312"/>
                <w:sz w:val="22"/>
                <w:szCs w:val="22"/>
                <w:lang w:eastAsia="zh-CN" w:bidi="ar"/>
              </w:rPr>
              <w:t>本地可再生能源消费占比</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854B57">
            <w:pPr>
              <w:topLinePunct/>
              <w:autoSpaceDE/>
              <w:autoSpaceDN/>
              <w:spacing w:beforeLines="0" w:afterLines="0" w:line="280" w:lineRule="exact"/>
              <w:jc w:val="center"/>
              <w:textAlignment w:val="center"/>
              <w:rPr>
                <w:rFonts w:hint="eastAsia" w:ascii="仿宋_GB2312" w:hAnsi="宋体" w:eastAsia="仿宋_GB2312" w:cs="仿宋_GB2312"/>
                <w:b/>
                <w:sz w:val="22"/>
                <w:szCs w:val="22"/>
                <w:lang w:eastAsia="zh-CN"/>
              </w:rPr>
            </w:pPr>
            <w:r>
              <w:rPr>
                <w:rFonts w:hint="eastAsia" w:ascii="仿宋_GB2312" w:hAnsi="宋体" w:eastAsia="仿宋_GB2312" w:cs="仿宋_GB2312"/>
                <w:sz w:val="22"/>
                <w:szCs w:val="22"/>
                <w:lang w:eastAsia="zh-CN"/>
              </w:rPr>
              <w:t>%</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F08C8C">
            <w:pPr>
              <w:topLinePunct/>
              <w:autoSpaceDE/>
              <w:autoSpaceDN/>
              <w:spacing w:beforeLines="0" w:afterLines="0" w:line="280" w:lineRule="exact"/>
              <w:jc w:val="center"/>
              <w:textAlignment w:val="center"/>
              <w:rPr>
                <w:rFonts w:hint="eastAsia" w:ascii="仿宋_GB2312" w:hAnsi="宋体" w:eastAsia="仿宋_GB2312" w:cs="仿宋_GB2312"/>
                <w:b/>
                <w:sz w:val="22"/>
                <w:szCs w:val="22"/>
                <w:lang w:eastAsia="zh-CN" w:bidi="ar"/>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624F80">
            <w:pPr>
              <w:topLinePunct/>
              <w:autoSpaceDE/>
              <w:autoSpaceDN/>
              <w:spacing w:beforeLines="0" w:afterLines="0" w:line="280" w:lineRule="exact"/>
              <w:jc w:val="center"/>
              <w:textAlignment w:val="center"/>
              <w:rPr>
                <w:rFonts w:hint="eastAsia" w:ascii="仿宋_GB2312" w:hAnsi="宋体" w:eastAsia="仿宋_GB2312" w:cs="仿宋_GB2312"/>
                <w:b/>
                <w:sz w:val="22"/>
                <w:szCs w:val="22"/>
                <w:lang w:eastAsia="zh-CN" w:bidi="ar"/>
              </w:rPr>
            </w:pPr>
          </w:p>
        </w:tc>
      </w:tr>
      <w:tr w14:paraId="76437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blHeader/>
          <w:jc w:val="center"/>
        </w:trPr>
        <w:tc>
          <w:tcPr>
            <w:tcW w:w="1135" w:type="dxa"/>
            <w:vMerge w:val="continue"/>
            <w:tcBorders>
              <w:top w:val="nil"/>
              <w:left w:val="single" w:color="000000" w:sz="4" w:space="0"/>
              <w:bottom w:val="nil"/>
              <w:right w:val="single" w:color="000000" w:sz="4" w:space="0"/>
              <w:tl2br w:val="nil"/>
              <w:tr2bl w:val="nil"/>
            </w:tcBorders>
            <w:noWrap w:val="0"/>
            <w:vAlign w:val="center"/>
          </w:tcPr>
          <w:p w14:paraId="2B1A65D5">
            <w:pPr>
              <w:topLinePunct/>
              <w:autoSpaceDE/>
              <w:autoSpaceDN/>
              <w:spacing w:beforeLines="0" w:afterLines="0" w:line="280" w:lineRule="exact"/>
              <w:jc w:val="center"/>
              <w:rPr>
                <w:rFonts w:hint="eastAsia" w:ascii="仿宋_GB2312" w:hAnsi="宋体" w:eastAsia="仿宋_GB2312" w:cs="仿宋_GB2312"/>
                <w:sz w:val="22"/>
                <w:szCs w:val="22"/>
                <w:lang w:eastAsia="zh-CN"/>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FEF1F">
            <w:pPr>
              <w:topLinePunct/>
              <w:autoSpaceDE/>
              <w:autoSpaceDN/>
              <w:spacing w:beforeLines="0" w:afterLines="0" w:line="280" w:lineRule="exact"/>
              <w:jc w:val="both"/>
              <w:textAlignment w:val="center"/>
              <w:rPr>
                <w:rFonts w:hint="eastAsia" w:ascii="仿宋_GB2312" w:hAnsi="宋体" w:eastAsia="仿宋_GB2312" w:cs="仿宋_GB2312"/>
                <w:sz w:val="22"/>
                <w:szCs w:val="22"/>
                <w:lang w:eastAsia="zh-CN" w:bidi="ar"/>
              </w:rPr>
            </w:pPr>
            <w:r>
              <w:rPr>
                <w:rFonts w:hint="eastAsia" w:ascii="仿宋_GB2312" w:hAnsi="宋体" w:eastAsia="仿宋_GB2312" w:cs="仿宋_GB2312"/>
                <w:sz w:val="22"/>
                <w:szCs w:val="22"/>
                <w:lang w:eastAsia="zh-CN" w:bidi="ar"/>
              </w:rPr>
              <w:t>可再生电力消费占比</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9C9272">
            <w:pPr>
              <w:topLinePunct/>
              <w:autoSpaceDE/>
              <w:autoSpaceDN/>
              <w:spacing w:beforeLines="0" w:afterLines="0" w:line="280" w:lineRule="exact"/>
              <w:jc w:val="center"/>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AFEBD6">
            <w:pPr>
              <w:topLinePunct/>
              <w:autoSpaceDE/>
              <w:autoSpaceDN/>
              <w:spacing w:beforeLines="0" w:afterLines="0" w:line="280" w:lineRule="exact"/>
              <w:jc w:val="center"/>
              <w:textAlignment w:val="center"/>
              <w:rPr>
                <w:rFonts w:hint="eastAsia" w:ascii="仿宋_GB2312" w:hAnsi="宋体" w:eastAsia="仿宋_GB2312" w:cs="仿宋_GB2312"/>
                <w:b/>
                <w:sz w:val="22"/>
                <w:szCs w:val="22"/>
                <w:lang w:eastAsia="zh-CN" w:bidi="ar"/>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E7D08C">
            <w:pPr>
              <w:topLinePunct/>
              <w:autoSpaceDE/>
              <w:autoSpaceDN/>
              <w:spacing w:beforeLines="0" w:afterLines="0" w:line="280" w:lineRule="exact"/>
              <w:jc w:val="center"/>
              <w:textAlignment w:val="center"/>
              <w:rPr>
                <w:rFonts w:hint="eastAsia" w:ascii="仿宋_GB2312" w:hAnsi="宋体" w:eastAsia="仿宋_GB2312" w:cs="仿宋_GB2312"/>
                <w:b/>
                <w:sz w:val="22"/>
                <w:szCs w:val="22"/>
                <w:lang w:eastAsia="zh-CN" w:bidi="ar"/>
              </w:rPr>
            </w:pPr>
          </w:p>
        </w:tc>
      </w:tr>
      <w:tr w14:paraId="467A4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nil"/>
              <w:left w:val="single" w:color="000000" w:sz="4" w:space="0"/>
              <w:bottom w:val="nil"/>
              <w:right w:val="single" w:color="000000" w:sz="4" w:space="0"/>
              <w:tl2br w:val="nil"/>
              <w:tr2bl w:val="nil"/>
            </w:tcBorders>
            <w:noWrap w:val="0"/>
            <w:vAlign w:val="center"/>
          </w:tcPr>
          <w:p w14:paraId="0AE8D5FE">
            <w:pPr>
              <w:topLinePunct/>
              <w:autoSpaceDE/>
              <w:autoSpaceDN/>
              <w:spacing w:beforeLines="0" w:afterLines="0" w:line="280" w:lineRule="exact"/>
              <w:jc w:val="center"/>
              <w:rPr>
                <w:rFonts w:hint="eastAsia" w:ascii="仿宋_GB2312" w:hAnsi="宋体" w:eastAsia="仿宋_GB2312" w:cs="仿宋_GB2312"/>
                <w:sz w:val="22"/>
                <w:szCs w:val="22"/>
                <w:lang w:eastAsia="zh-CN"/>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F07F91">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bidi="ar"/>
              </w:rPr>
              <w:t>终端电气化率</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9D40318">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8B0B39">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7388E9">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68E66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nil"/>
              <w:left w:val="single" w:color="000000" w:sz="4" w:space="0"/>
              <w:bottom w:val="single" w:color="000000" w:sz="4" w:space="0"/>
              <w:right w:val="single" w:color="000000" w:sz="4" w:space="0"/>
              <w:tl2br w:val="nil"/>
              <w:tr2bl w:val="nil"/>
            </w:tcBorders>
            <w:noWrap w:val="0"/>
            <w:vAlign w:val="center"/>
          </w:tcPr>
          <w:p w14:paraId="22F0CF71">
            <w:pPr>
              <w:topLinePunct/>
              <w:autoSpaceDE/>
              <w:autoSpaceDN/>
              <w:spacing w:beforeLines="0" w:afterLines="0" w:line="280" w:lineRule="exact"/>
              <w:jc w:val="center"/>
              <w:rPr>
                <w:rFonts w:hint="eastAsia" w:ascii="仿宋_GB2312" w:hAnsi="宋体" w:eastAsia="仿宋_GB2312" w:cs="仿宋_GB2312"/>
                <w:sz w:val="22"/>
                <w:szCs w:val="22"/>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475EDE">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bidi="ar"/>
              </w:rPr>
              <w:t>园区内电力需求响应能力</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D35674">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千瓦</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D9B351">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3B0AA9">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228F1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0132A9">
            <w:pPr>
              <w:topLinePunct/>
              <w:autoSpaceDE/>
              <w:autoSpaceDN/>
              <w:spacing w:beforeLines="0" w:afterLines="0" w:line="280" w:lineRule="exact"/>
              <w:jc w:val="center"/>
              <w:textAlignment w:val="center"/>
              <w:rPr>
                <w:rFonts w:hint="eastAsia" w:ascii="仿宋_GB2312" w:hAnsi="宋体" w:eastAsia="仿宋_GB2312" w:cs="仿宋_GB2312"/>
                <w:sz w:val="22"/>
                <w:szCs w:val="22"/>
              </w:rPr>
            </w:pPr>
            <w:r>
              <w:rPr>
                <w:rFonts w:hint="eastAsia" w:ascii="仿宋_GB2312" w:hAnsi="宋体" w:eastAsia="仿宋_GB2312" w:cs="仿宋_GB2312"/>
                <w:sz w:val="22"/>
                <w:szCs w:val="22"/>
                <w:lang w:eastAsia="zh-CN" w:bidi="ar"/>
              </w:rPr>
              <w:t>产业降碳</w:t>
            </w: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A624DE">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bidi="ar"/>
              </w:rPr>
              <w:t>绿色工厂比例</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C458D3">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691BAE">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B55043">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1F84B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3E1CD5">
            <w:pPr>
              <w:topLinePunct/>
              <w:autoSpaceDE/>
              <w:autoSpaceDN/>
              <w:spacing w:beforeLines="0" w:afterLines="0" w:line="280" w:lineRule="exact"/>
              <w:jc w:val="center"/>
              <w:rPr>
                <w:rFonts w:hint="eastAsia" w:ascii="仿宋_GB2312" w:hAnsi="宋体" w:eastAsia="仿宋_GB2312" w:cs="仿宋_GB2312"/>
                <w:sz w:val="22"/>
                <w:szCs w:val="22"/>
                <w:lang w:eastAsia="zh-CN"/>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0467BC">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bidi="ar"/>
              </w:rPr>
              <w:t>零碳工厂比例</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C0F7FC">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DBDFA2">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3BFF78">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7F9E6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restart"/>
            <w:tcBorders>
              <w:top w:val="single" w:color="000000" w:sz="4" w:space="0"/>
              <w:left w:val="single" w:color="000000" w:sz="4" w:space="0"/>
              <w:bottom w:val="nil"/>
              <w:right w:val="single" w:color="000000" w:sz="4" w:space="0"/>
              <w:tl2br w:val="nil"/>
              <w:tr2bl w:val="nil"/>
            </w:tcBorders>
            <w:noWrap w:val="0"/>
            <w:vAlign w:val="center"/>
          </w:tcPr>
          <w:p w14:paraId="3E0C70C5">
            <w:pPr>
              <w:topLinePunct/>
              <w:autoSpaceDE/>
              <w:autoSpaceDN/>
              <w:spacing w:beforeLines="0" w:afterLines="0" w:line="280" w:lineRule="exact"/>
              <w:jc w:val="center"/>
              <w:textAlignment w:val="center"/>
              <w:rPr>
                <w:rFonts w:hint="eastAsia" w:ascii="仿宋_GB2312" w:hAnsi="宋体" w:eastAsia="仿宋_GB2312" w:cs="仿宋_GB2312"/>
                <w:sz w:val="22"/>
                <w:szCs w:val="22"/>
              </w:rPr>
            </w:pPr>
            <w:r>
              <w:rPr>
                <w:rFonts w:hint="eastAsia" w:ascii="仿宋_GB2312" w:hAnsi="宋体" w:eastAsia="仿宋_GB2312" w:cs="仿宋_GB2312"/>
                <w:sz w:val="22"/>
                <w:szCs w:val="22"/>
                <w:lang w:eastAsia="zh-CN" w:bidi="ar"/>
              </w:rPr>
              <w:t>基础设施</w:t>
            </w: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2FA3058">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园区绿色微电网</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A5390E">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个</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6F7AAC">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B0029D">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0AC4A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nil"/>
              <w:left w:val="single" w:color="000000" w:sz="4" w:space="0"/>
              <w:bottom w:val="nil"/>
              <w:right w:val="single" w:color="000000" w:sz="4" w:space="0"/>
              <w:tl2br w:val="nil"/>
              <w:tr2bl w:val="nil"/>
            </w:tcBorders>
            <w:noWrap w:val="0"/>
            <w:vAlign w:val="center"/>
          </w:tcPr>
          <w:p w14:paraId="69CA9EC8">
            <w:pPr>
              <w:topLinePunct/>
              <w:autoSpaceDE/>
              <w:autoSpaceDN/>
              <w:spacing w:beforeLines="0" w:afterLines="0" w:line="280" w:lineRule="exact"/>
              <w:jc w:val="center"/>
              <w:rPr>
                <w:rFonts w:hint="eastAsia" w:ascii="仿宋_GB2312" w:hAnsi="宋体" w:eastAsia="仿宋_GB2312" w:cs="仿宋_GB2312"/>
                <w:sz w:val="22"/>
                <w:szCs w:val="22"/>
                <w:lang w:eastAsia="zh-CN"/>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4F80D8">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bidi="ar"/>
              </w:rPr>
              <w:t>氢能等新能源公交和重卡投放量</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B07B6F">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辆</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4EC927">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D496CD">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6B84B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nil"/>
              <w:left w:val="single" w:color="000000" w:sz="4" w:space="0"/>
              <w:bottom w:val="nil"/>
              <w:right w:val="single" w:color="000000" w:sz="4" w:space="0"/>
              <w:tl2br w:val="nil"/>
              <w:tr2bl w:val="nil"/>
            </w:tcBorders>
            <w:noWrap w:val="0"/>
            <w:vAlign w:val="center"/>
          </w:tcPr>
          <w:p w14:paraId="5F729F72">
            <w:pPr>
              <w:topLinePunct/>
              <w:autoSpaceDE/>
              <w:autoSpaceDN/>
              <w:spacing w:beforeLines="0" w:afterLines="0" w:line="280" w:lineRule="exact"/>
              <w:jc w:val="center"/>
              <w:rPr>
                <w:rFonts w:hint="eastAsia" w:ascii="仿宋_GB2312" w:hAnsi="宋体" w:eastAsia="仿宋_GB2312" w:cs="仿宋_GB2312"/>
                <w:sz w:val="22"/>
                <w:szCs w:val="22"/>
                <w:lang w:eastAsia="zh-CN"/>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2E1C60">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bidi="ar"/>
              </w:rPr>
              <w:t>加（制）氢站、充（换）电站、V2G等数量</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BE5044">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个</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C0514C">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7DC1CA">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7793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nil"/>
              <w:left w:val="single" w:color="000000" w:sz="4" w:space="0"/>
              <w:bottom w:val="nil"/>
              <w:right w:val="single" w:color="000000" w:sz="4" w:space="0"/>
              <w:tl2br w:val="nil"/>
              <w:tr2bl w:val="nil"/>
            </w:tcBorders>
            <w:noWrap w:val="0"/>
            <w:vAlign w:val="center"/>
          </w:tcPr>
          <w:p w14:paraId="48E9B83B">
            <w:pPr>
              <w:topLinePunct/>
              <w:autoSpaceDE/>
              <w:autoSpaceDN/>
              <w:spacing w:beforeLines="0" w:afterLines="0" w:line="280" w:lineRule="exact"/>
              <w:jc w:val="center"/>
              <w:rPr>
                <w:rFonts w:hint="eastAsia" w:ascii="仿宋_GB2312" w:hAnsi="宋体" w:eastAsia="仿宋_GB2312" w:cs="仿宋_GB2312"/>
                <w:sz w:val="22"/>
                <w:szCs w:val="22"/>
                <w:lang w:eastAsia="zh-CN"/>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E67CB3">
            <w:pPr>
              <w:topLinePunct/>
              <w:autoSpaceDE/>
              <w:autoSpaceDN/>
              <w:spacing w:beforeLines="0" w:afterLines="0" w:line="280" w:lineRule="exact"/>
              <w:textAlignment w:val="center"/>
              <w:rPr>
                <w:rFonts w:hint="eastAsia" w:ascii="仿宋_GB2312" w:hAnsi="宋体" w:eastAsia="仿宋_GB2312" w:cs="仿宋_GB2312"/>
                <w:sz w:val="22"/>
                <w:szCs w:val="22"/>
                <w:lang w:eastAsia="zh-CN" w:bidi="ar"/>
              </w:rPr>
            </w:pPr>
            <w:r>
              <w:rPr>
                <w:rFonts w:hint="eastAsia" w:ascii="仿宋_GB2312" w:hAnsi="宋体" w:eastAsia="仿宋_GB2312" w:cs="仿宋_GB2312"/>
                <w:sz w:val="22"/>
                <w:szCs w:val="22"/>
                <w:lang w:eastAsia="zh-CN" w:bidi="ar"/>
              </w:rPr>
              <w:t>获得评价标识的绿色建材的应用比例</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C44FF0">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FC0644">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D50186">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6DA8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nil"/>
              <w:left w:val="single" w:color="000000" w:sz="4" w:space="0"/>
              <w:bottom w:val="single" w:color="000000" w:sz="4" w:space="0"/>
              <w:right w:val="single" w:color="000000" w:sz="4" w:space="0"/>
              <w:tl2br w:val="nil"/>
              <w:tr2bl w:val="nil"/>
            </w:tcBorders>
            <w:noWrap w:val="0"/>
            <w:vAlign w:val="center"/>
          </w:tcPr>
          <w:p w14:paraId="57A8A15B">
            <w:pPr>
              <w:topLinePunct/>
              <w:autoSpaceDE/>
              <w:autoSpaceDN/>
              <w:spacing w:beforeLines="0" w:afterLines="0" w:line="280" w:lineRule="exact"/>
              <w:jc w:val="center"/>
              <w:rPr>
                <w:rFonts w:hint="eastAsia" w:ascii="仿宋_GB2312" w:hAnsi="宋体" w:eastAsia="仿宋_GB2312" w:cs="仿宋_GB2312"/>
                <w:sz w:val="22"/>
                <w:szCs w:val="22"/>
                <w:lang w:eastAsia="zh-CN"/>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BC6BDF">
            <w:pPr>
              <w:topLinePunct/>
              <w:autoSpaceDE/>
              <w:autoSpaceDN/>
              <w:spacing w:beforeLines="0" w:afterLines="0" w:line="280" w:lineRule="exact"/>
              <w:textAlignment w:val="center"/>
              <w:rPr>
                <w:rFonts w:hint="eastAsia" w:ascii="仿宋_GB2312" w:hAnsi="宋体" w:eastAsia="仿宋_GB2312" w:cs="仿宋_GB2312"/>
                <w:sz w:val="22"/>
                <w:szCs w:val="22"/>
                <w:lang w:eastAsia="zh-CN" w:bidi="ar"/>
              </w:rPr>
            </w:pPr>
            <w:r>
              <w:rPr>
                <w:rFonts w:hint="eastAsia" w:ascii="仿宋_GB2312" w:hAnsi="宋体" w:eastAsia="仿宋_GB2312" w:cs="仿宋_GB2312"/>
                <w:sz w:val="22"/>
                <w:szCs w:val="22"/>
                <w:lang w:eastAsia="zh-CN" w:bidi="ar"/>
              </w:rPr>
              <w:t>利废建材应用比例</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307CE3">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0973C8">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9CD6FA">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1E76D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F22E89">
            <w:pPr>
              <w:topLinePunct/>
              <w:autoSpaceDE/>
              <w:autoSpaceDN/>
              <w:spacing w:beforeLines="0" w:afterLines="0" w:line="280" w:lineRule="exact"/>
              <w:jc w:val="center"/>
              <w:textAlignment w:val="center"/>
              <w:rPr>
                <w:rFonts w:hint="eastAsia" w:ascii="仿宋_GB2312" w:hAnsi="宋体" w:eastAsia="仿宋_GB2312" w:cs="仿宋_GB2312"/>
                <w:sz w:val="22"/>
                <w:szCs w:val="22"/>
              </w:rPr>
            </w:pPr>
            <w:r>
              <w:rPr>
                <w:rFonts w:hint="eastAsia" w:ascii="仿宋_GB2312" w:hAnsi="宋体" w:eastAsia="仿宋_GB2312" w:cs="仿宋_GB2312"/>
                <w:sz w:val="22"/>
                <w:szCs w:val="22"/>
                <w:lang w:eastAsia="zh-CN" w:bidi="ar"/>
              </w:rPr>
              <w:t>运营管理</w:t>
            </w: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3319E7">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bidi="ar"/>
              </w:rPr>
              <w:t>企业开展碳足迹标识认证占比</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A79B1B">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8C798D">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B39791">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4C665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615498">
            <w:pPr>
              <w:topLinePunct/>
              <w:autoSpaceDE/>
              <w:autoSpaceDN/>
              <w:spacing w:beforeLines="0" w:afterLines="0" w:line="280" w:lineRule="exact"/>
              <w:jc w:val="center"/>
              <w:rPr>
                <w:rFonts w:hint="eastAsia" w:ascii="仿宋_GB2312" w:hAnsi="宋体" w:eastAsia="仿宋_GB2312" w:cs="仿宋_GB2312"/>
                <w:sz w:val="22"/>
                <w:szCs w:val="22"/>
                <w:lang w:eastAsia="zh-CN"/>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21D04E">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bidi="ar"/>
              </w:rPr>
              <w:t>能碳智慧管理平台对园区企业的覆盖率</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E05D5C2">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33D35D">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A579EF">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2C6BF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C7498E">
            <w:pPr>
              <w:topLinePunct/>
              <w:autoSpaceDE/>
              <w:autoSpaceDN/>
              <w:spacing w:beforeLines="0" w:afterLines="0" w:line="280" w:lineRule="exact"/>
              <w:jc w:val="center"/>
              <w:rPr>
                <w:rFonts w:hint="eastAsia" w:ascii="仿宋_GB2312" w:hAnsi="宋体" w:eastAsia="仿宋_GB2312" w:cs="仿宋_GB2312"/>
                <w:sz w:val="22"/>
                <w:szCs w:val="22"/>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F714F0">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园区企业牵头或参与国家及本市碳排放相关标准制定的数量</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5DC016">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个</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BC34D0">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D6F05A">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2E77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135" w:type="dxa"/>
            <w:vMerge w:val="restart"/>
            <w:tcBorders>
              <w:top w:val="single" w:color="000000" w:sz="4" w:space="0"/>
              <w:left w:val="single" w:color="000000" w:sz="4" w:space="0"/>
              <w:bottom w:val="nil"/>
              <w:right w:val="single" w:color="000000" w:sz="4" w:space="0"/>
              <w:tl2br w:val="nil"/>
              <w:tr2bl w:val="nil"/>
            </w:tcBorders>
            <w:noWrap w:val="0"/>
            <w:vAlign w:val="center"/>
          </w:tcPr>
          <w:p w14:paraId="7F027AD6">
            <w:pPr>
              <w:topLinePunct/>
              <w:autoSpaceDE/>
              <w:autoSpaceDN/>
              <w:spacing w:beforeLines="0" w:afterLines="0" w:line="280" w:lineRule="exact"/>
              <w:jc w:val="center"/>
              <w:textAlignment w:val="center"/>
              <w:rPr>
                <w:rFonts w:hint="eastAsia" w:ascii="仿宋_GB2312" w:hAnsi="宋体" w:eastAsia="仿宋_GB2312" w:cs="仿宋_GB2312"/>
                <w:sz w:val="22"/>
                <w:szCs w:val="22"/>
              </w:rPr>
            </w:pPr>
            <w:r>
              <w:rPr>
                <w:rFonts w:hint="eastAsia" w:ascii="仿宋_GB2312" w:hAnsi="宋体" w:eastAsia="仿宋_GB2312" w:cs="仿宋_GB2312"/>
                <w:sz w:val="22"/>
                <w:szCs w:val="22"/>
                <w:lang w:eastAsia="zh-CN" w:bidi="ar"/>
              </w:rPr>
              <w:t>绿色低碳创新</w:t>
            </w: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3FEABE">
            <w:pPr>
              <w:topLinePunct/>
              <w:autoSpaceDE/>
              <w:autoSpaceDN/>
              <w:spacing w:beforeLines="0" w:afterLines="0" w:line="280" w:lineRule="exact"/>
              <w:textAlignment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bidi="ar"/>
              </w:rPr>
              <w:t>市级以上绿色低碳相关创新平台（工程中心、重点实验室、科研机构等）</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F3B08C">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个</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278ECB">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299185">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726AC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nil"/>
              <w:left w:val="single" w:color="000000" w:sz="4" w:space="0"/>
              <w:bottom w:val="nil"/>
              <w:right w:val="single" w:color="000000" w:sz="4" w:space="0"/>
              <w:tl2br w:val="nil"/>
              <w:tr2bl w:val="nil"/>
            </w:tcBorders>
            <w:noWrap w:val="0"/>
            <w:vAlign w:val="center"/>
          </w:tcPr>
          <w:p w14:paraId="1AEBCD92">
            <w:pPr>
              <w:topLinePunct/>
              <w:autoSpaceDE/>
              <w:autoSpaceDN/>
              <w:spacing w:beforeLines="0" w:afterLines="0" w:line="280" w:lineRule="exact"/>
              <w:jc w:val="center"/>
              <w:rPr>
                <w:rFonts w:hint="eastAsia" w:ascii="仿宋_GB2312" w:hAnsi="宋体" w:eastAsia="仿宋_GB2312" w:cs="仿宋_GB2312"/>
                <w:sz w:val="22"/>
                <w:szCs w:val="22"/>
                <w:lang w:eastAsia="zh-CN"/>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D17AED">
            <w:pPr>
              <w:topLinePunct/>
              <w:autoSpaceDE/>
              <w:autoSpaceDN/>
              <w:spacing w:beforeLines="0" w:afterLines="0" w:line="280" w:lineRule="exact"/>
              <w:textAlignment w:val="center"/>
              <w:rPr>
                <w:rFonts w:hint="eastAsia" w:ascii="仿宋_GB2312" w:hAnsi="宋体" w:eastAsia="仿宋_GB2312" w:cs="仿宋_GB2312"/>
                <w:sz w:val="22"/>
                <w:szCs w:val="22"/>
                <w:lang w:eastAsia="zh-CN" w:bidi="ar"/>
              </w:rPr>
            </w:pPr>
            <w:r>
              <w:rPr>
                <w:rFonts w:hint="eastAsia" w:ascii="仿宋_GB2312" w:hAnsi="宋体" w:eastAsia="仿宋_GB2312" w:cs="仿宋_GB2312"/>
                <w:sz w:val="22"/>
                <w:szCs w:val="22"/>
                <w:lang w:eastAsia="zh-CN" w:bidi="ar"/>
              </w:rPr>
              <w:t>纳入上海市绿色低碳先进技术项目的数量</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E7F101">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个</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9D6E18">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78575F">
            <w:pPr>
              <w:topLinePunct/>
              <w:autoSpaceDE/>
              <w:autoSpaceDN/>
              <w:spacing w:beforeLines="0" w:afterLines="0" w:line="280" w:lineRule="exact"/>
              <w:rPr>
                <w:rFonts w:hint="eastAsia" w:ascii="仿宋_GB2312" w:hAnsi="宋体" w:eastAsia="仿宋_GB2312" w:cs="仿宋_GB2312"/>
                <w:sz w:val="22"/>
                <w:szCs w:val="22"/>
                <w:lang w:eastAsia="zh-CN"/>
              </w:rPr>
            </w:pPr>
          </w:p>
        </w:tc>
      </w:tr>
      <w:tr w14:paraId="6FA14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135" w:type="dxa"/>
            <w:vMerge w:val="continue"/>
            <w:tcBorders>
              <w:top w:val="nil"/>
              <w:left w:val="single" w:color="000000" w:sz="4" w:space="0"/>
              <w:bottom w:val="single" w:color="000000" w:sz="4" w:space="0"/>
              <w:right w:val="single" w:color="000000" w:sz="4" w:space="0"/>
              <w:tl2br w:val="nil"/>
              <w:tr2bl w:val="nil"/>
            </w:tcBorders>
            <w:noWrap w:val="0"/>
            <w:vAlign w:val="center"/>
          </w:tcPr>
          <w:p w14:paraId="4CA945FC">
            <w:pPr>
              <w:topLinePunct/>
              <w:autoSpaceDE/>
              <w:autoSpaceDN/>
              <w:spacing w:beforeLines="0" w:afterLines="0" w:line="280" w:lineRule="exact"/>
              <w:jc w:val="center"/>
              <w:rPr>
                <w:rFonts w:hint="eastAsia" w:ascii="仿宋_GB2312" w:hAnsi="宋体" w:eastAsia="仿宋_GB2312" w:cs="仿宋_GB2312"/>
                <w:sz w:val="22"/>
                <w:szCs w:val="22"/>
                <w:lang w:eastAsia="zh-CN"/>
              </w:rPr>
            </w:pPr>
          </w:p>
        </w:tc>
        <w:tc>
          <w:tcPr>
            <w:tcW w:w="414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7B9D26">
            <w:pPr>
              <w:topLinePunct/>
              <w:autoSpaceDE/>
              <w:autoSpaceDN/>
              <w:spacing w:beforeLines="0" w:afterLines="0" w:line="280" w:lineRule="exact"/>
              <w:textAlignment w:val="center"/>
              <w:rPr>
                <w:rFonts w:hint="eastAsia" w:ascii="仿宋_GB2312" w:hAnsi="宋体" w:eastAsia="仿宋_GB2312" w:cs="仿宋_GB2312"/>
                <w:sz w:val="22"/>
                <w:szCs w:val="22"/>
                <w:lang w:eastAsia="zh-CN" w:bidi="ar"/>
              </w:rPr>
            </w:pPr>
            <w:r>
              <w:rPr>
                <w:rFonts w:hint="eastAsia" w:ascii="仿宋_GB2312" w:hAnsi="宋体" w:eastAsia="仿宋_GB2312" w:cs="仿宋_GB2312"/>
                <w:sz w:val="22"/>
                <w:szCs w:val="22"/>
                <w:lang w:eastAsia="zh-CN" w:bidi="ar"/>
              </w:rPr>
              <w:t>纳入国家能源领域首台（套）重大技术装备名单的数量</w:t>
            </w:r>
          </w:p>
        </w:tc>
        <w:tc>
          <w:tcPr>
            <w:tcW w:w="8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414A87">
            <w:pPr>
              <w:topLinePunct/>
              <w:autoSpaceDE/>
              <w:autoSpaceDN/>
              <w:spacing w:beforeLines="0" w:afterLines="0" w:line="280" w:lineRule="exact"/>
              <w:jc w:val="center"/>
              <w:rPr>
                <w:rFonts w:hint="eastAsia" w:ascii="仿宋_GB2312" w:hAnsi="宋体" w:eastAsia="仿宋_GB2312" w:cs="仿宋_GB2312"/>
                <w:sz w:val="22"/>
                <w:szCs w:val="22"/>
                <w:lang w:eastAsia="zh-CN"/>
              </w:rPr>
            </w:pPr>
            <w:r>
              <w:rPr>
                <w:rFonts w:hint="eastAsia" w:ascii="仿宋_GB2312" w:hAnsi="宋体" w:eastAsia="仿宋_GB2312" w:cs="仿宋_GB2312"/>
                <w:sz w:val="22"/>
                <w:szCs w:val="22"/>
                <w:lang w:eastAsia="zh-CN"/>
              </w:rPr>
              <w:t>个</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FA7C49">
            <w:pPr>
              <w:topLinePunct/>
              <w:autoSpaceDE/>
              <w:autoSpaceDN/>
              <w:spacing w:beforeLines="0" w:afterLines="0" w:line="280" w:lineRule="exact"/>
              <w:rPr>
                <w:rFonts w:hint="eastAsia" w:ascii="仿宋_GB2312" w:hAnsi="宋体" w:eastAsia="仿宋_GB2312" w:cs="仿宋_GB2312"/>
                <w:sz w:val="22"/>
                <w:szCs w:val="22"/>
                <w:lang w:eastAsia="zh-CN"/>
              </w:rPr>
            </w:pPr>
          </w:p>
        </w:tc>
        <w:tc>
          <w:tcPr>
            <w:tcW w:w="91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793D49">
            <w:pPr>
              <w:topLinePunct/>
              <w:autoSpaceDE/>
              <w:autoSpaceDN/>
              <w:spacing w:beforeLines="0" w:afterLines="0" w:line="280" w:lineRule="exact"/>
              <w:rPr>
                <w:rFonts w:hint="eastAsia" w:ascii="仿宋_GB2312" w:hAnsi="宋体" w:eastAsia="仿宋_GB2312" w:cs="仿宋_GB2312"/>
                <w:sz w:val="22"/>
                <w:szCs w:val="22"/>
                <w:lang w:eastAsia="zh-CN"/>
              </w:rPr>
            </w:pPr>
          </w:p>
        </w:tc>
      </w:tr>
    </w:tbl>
    <w:p w14:paraId="17AD2ACE">
      <w:pPr>
        <w:pStyle w:val="3"/>
        <w:keepNext w:val="0"/>
        <w:keepLines w:val="0"/>
        <w:numPr>
          <w:ilvl w:val="0"/>
          <w:numId w:val="1"/>
        </w:numPr>
        <w:topLinePunct/>
        <w:autoSpaceDE/>
        <w:autoSpaceDN/>
        <w:spacing w:before="0" w:beforeLines="0" w:after="0" w:afterLines="0" w:line="560" w:lineRule="exact"/>
        <w:ind w:firstLine="619" w:firstLineChars="200"/>
        <w:rPr>
          <w:rFonts w:hint="default"/>
          <w:sz w:val="32"/>
          <w:szCs w:val="21"/>
          <w:lang w:eastAsia="zh-CN"/>
        </w:rPr>
      </w:pPr>
      <w:r>
        <w:rPr>
          <w:rFonts w:hint="eastAsia"/>
          <w:sz w:val="32"/>
          <w:szCs w:val="21"/>
          <w:lang w:eastAsia="zh-CN"/>
        </w:rPr>
        <w:t>部分指标说明</w:t>
      </w:r>
    </w:p>
    <w:p w14:paraId="6BD8E6D1">
      <w:pPr>
        <w:pStyle w:val="5"/>
        <w:keepNext w:val="0"/>
        <w:keepLines w:val="0"/>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1.单位能耗碳排放</w:t>
      </w:r>
    </w:p>
    <w:p w14:paraId="5F7251BD">
      <w:pPr>
        <w:pStyle w:val="6"/>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指园区范围内每消费一吨标准煤能源产生的碳排放量，即为园区年碳排放总量与园区年综合能源消费量的比值。</w:t>
      </w:r>
    </w:p>
    <w:p w14:paraId="04982CC1">
      <w:pPr>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园区年综合能源消费量指园区范围内每年度实际消费的各类能源的总和，单位为吨标准煤；电力消费能耗按等价值计算。</w:t>
      </w:r>
    </w:p>
    <w:p w14:paraId="3A11A083">
      <w:pPr>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园区年碳排放总量按照国家规定的零碳园区碳排放核算方法（试行）进行计算。</w:t>
      </w:r>
    </w:p>
    <w:p w14:paraId="51C49068">
      <w:pPr>
        <w:pStyle w:val="5"/>
        <w:keepNext w:val="0"/>
        <w:keepLines w:val="0"/>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2.清洁能源消费占比</w:t>
      </w:r>
    </w:p>
    <w:p w14:paraId="5A0D2EEB">
      <w:pPr>
        <w:pStyle w:val="6"/>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指园区年综合能源消费总量中清洁能源消费量的占比。</w:t>
      </w:r>
    </w:p>
    <w:p w14:paraId="6B9053E3">
      <w:pPr>
        <w:pStyle w:val="6"/>
        <w:topLinePunct/>
        <w:autoSpaceDE/>
        <w:autoSpaceDN/>
        <w:adjustRightInd/>
        <w:snapToGrid/>
        <w:spacing w:beforeLines="0" w:afterLines="0" w:line="560" w:lineRule="exact"/>
        <w:ind w:firstLine="616"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园区年清洁能源消费量（吨标准煤），包括天然气、可再生能源（太阳能、风能、生物质能、地热能等）、绿色电力等。</w:t>
      </w:r>
    </w:p>
    <w:p w14:paraId="3FEA556A">
      <w:pPr>
        <w:pStyle w:val="5"/>
        <w:keepNext w:val="0"/>
        <w:keepLines w:val="0"/>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3.可利用建筑屋顶光伏覆盖率</w:t>
      </w:r>
    </w:p>
    <w:p w14:paraId="59023F57">
      <w:pPr>
        <w:pStyle w:val="6"/>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bidi="ar"/>
        </w:rPr>
        <w:t>指园区内可安装光伏的建筑屋顶中，实际安装光伏系统的面积占比，即：</w:t>
      </w:r>
    </w:p>
    <w:p w14:paraId="2B4FC560">
      <w:pPr>
        <w:pStyle w:val="6"/>
        <w:topLinePunct/>
        <w:autoSpaceDE/>
        <w:autoSpaceDN/>
        <w:adjustRightInd/>
        <w:snapToGrid/>
        <w:spacing w:beforeLines="0" w:afterLines="0" w:line="560" w:lineRule="exact"/>
        <w:ind w:firstLine="536" w:firstLineChars="200"/>
        <w:textAlignment w:val="auto"/>
        <w:rPr>
          <w:rFonts w:hint="default" w:ascii="Times New Roman Regular" w:hAnsi="Times New Roman Regular" w:eastAsia="仿宋_GB2312" w:cs="Times New Roman Regular"/>
          <w:sz w:val="32"/>
          <w:szCs w:val="32"/>
          <w:lang w:eastAsia="zh-CN"/>
        </w:rPr>
      </w:pPr>
      <w:r>
        <w:rPr>
          <w:rFonts w:hint="eastAsia" w:ascii="Times New Roman" w:hAnsi="Times New Roman" w:eastAsia="仿宋_GB2312" w:cs="Times New Roman"/>
          <w:sz w:val="28"/>
          <w:szCs w:val="28"/>
          <w:lang w:eastAsia="zh-CN" w:bidi="ar"/>
        </w:rPr>
        <w:t>可利用建筑屋顶光伏覆盖率=已安装光伏屋顶面积（m</w:t>
      </w:r>
      <w:r>
        <w:rPr>
          <w:rFonts w:hint="default" w:ascii="Times New Roman" w:hAnsi="Times New Roman" w:eastAsia="仿宋_GB2312" w:cs="Times New Roman"/>
          <w:sz w:val="28"/>
          <w:szCs w:val="28"/>
          <w:vertAlign w:val="superscript"/>
          <w:lang w:eastAsia="zh-CN" w:bidi="ar"/>
        </w:rPr>
        <w:t>2</w:t>
      </w:r>
      <w:r>
        <w:rPr>
          <w:rFonts w:hint="eastAsia" w:ascii="Times New Roman" w:hAnsi="Times New Roman" w:eastAsia="仿宋_GB2312" w:cs="Times New Roman"/>
          <w:sz w:val="28"/>
          <w:szCs w:val="28"/>
          <w:lang w:eastAsia="zh-CN" w:bidi="ar"/>
        </w:rPr>
        <w:t>）/可利用建筑屋顶总面积（m</w:t>
      </w:r>
      <w:r>
        <w:rPr>
          <w:rFonts w:hint="default" w:ascii="Times New Roman" w:hAnsi="Times New Roman" w:eastAsia="仿宋_GB2312" w:cs="Times New Roman"/>
          <w:sz w:val="28"/>
          <w:szCs w:val="28"/>
          <w:vertAlign w:val="superscript"/>
          <w:lang w:eastAsia="zh-CN" w:bidi="ar"/>
        </w:rPr>
        <w:t>2</w:t>
      </w:r>
      <w:r>
        <w:rPr>
          <w:rFonts w:hint="eastAsia" w:ascii="Times New Roman" w:hAnsi="Times New Roman" w:eastAsia="仿宋_GB2312" w:cs="Times New Roman"/>
          <w:sz w:val="28"/>
          <w:szCs w:val="28"/>
          <w:lang w:eastAsia="zh-CN" w:bidi="ar"/>
        </w:rPr>
        <w:t>）×100%。</w:t>
      </w:r>
    </w:p>
    <w:p w14:paraId="0866BEBA">
      <w:pPr>
        <w:pStyle w:val="5"/>
        <w:keepNext w:val="0"/>
        <w:keepLines w:val="0"/>
        <w:numPr>
          <w:ilvl w:val="0"/>
          <w:numId w:val="0"/>
        </w:numPr>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4.绿电直供比例</w:t>
      </w:r>
    </w:p>
    <w:p w14:paraId="778F1226">
      <w:pPr>
        <w:pStyle w:val="6"/>
        <w:numPr>
          <w:ilvl w:val="0"/>
          <w:numId w:val="0"/>
        </w:numPr>
        <w:topLinePunct/>
        <w:autoSpaceDE/>
        <w:autoSpaceDN/>
        <w:adjustRightInd/>
        <w:snapToGrid/>
        <w:spacing w:beforeLines="0" w:afterLines="0"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指园区内能实现物理溯源的绿电量与总用电量的比值。</w:t>
      </w:r>
    </w:p>
    <w:p w14:paraId="000A58A7">
      <w:pPr>
        <w:pStyle w:val="5"/>
        <w:keepNext w:val="0"/>
        <w:keepLines w:val="0"/>
        <w:numPr>
          <w:ilvl w:val="0"/>
          <w:numId w:val="0"/>
        </w:numPr>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5.工业固体废物产生强度近三年累计降幅</w:t>
      </w:r>
    </w:p>
    <w:p w14:paraId="5A0C40FF">
      <w:pPr>
        <w:pStyle w:val="6"/>
        <w:numPr>
          <w:ilvl w:val="0"/>
          <w:numId w:val="0"/>
        </w:numPr>
        <w:topLinePunct/>
        <w:autoSpaceDE/>
        <w:autoSpaceDN/>
        <w:adjustRightInd/>
        <w:snapToGrid/>
        <w:spacing w:beforeLines="0" w:afterLines="0"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指评价当年园区内</w:t>
      </w:r>
      <w:r>
        <w:rPr>
          <w:rFonts w:hint="eastAsia" w:ascii="Times New Roman Regular" w:hAnsi="Times New Roman Regular" w:eastAsia="仿宋_GB2312" w:cs="Times New Roman Regular"/>
          <w:sz w:val="32"/>
          <w:szCs w:val="32"/>
          <w:lang w:eastAsia="zh-CN"/>
        </w:rPr>
        <w:t>工业固体废物产生强度（产生量/产值）与三年前的下降率。</w:t>
      </w:r>
    </w:p>
    <w:p w14:paraId="18AF19B1">
      <w:pPr>
        <w:pStyle w:val="5"/>
        <w:keepNext w:val="0"/>
        <w:keepLines w:val="0"/>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6.余热/余冷/余压综合利用率</w:t>
      </w:r>
    </w:p>
    <w:p w14:paraId="06CCDE40">
      <w:pPr>
        <w:pStyle w:val="6"/>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指园区内热能、冷能和压力能回收利用的比例，综合利用率是三类能源综合利用率的加权平均值。</w:t>
      </w:r>
    </w:p>
    <w:p w14:paraId="76C0FA1B">
      <w:pPr>
        <w:pStyle w:val="5"/>
        <w:keepNext w:val="0"/>
        <w:keepLines w:val="0"/>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7.工业用水重复利用率</w:t>
      </w:r>
    </w:p>
    <w:p w14:paraId="5D712905">
      <w:pPr>
        <w:pStyle w:val="6"/>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指工业用水中重复利用的水量与总用水量的比值。</w:t>
      </w:r>
    </w:p>
    <w:p w14:paraId="4C3D18D6">
      <w:pPr>
        <w:pStyle w:val="5"/>
        <w:keepNext w:val="0"/>
        <w:keepLines w:val="0"/>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8.储能容量占日均用电量比例</w:t>
      </w:r>
    </w:p>
    <w:p w14:paraId="328F5317">
      <w:pPr>
        <w:pStyle w:val="6"/>
        <w:topLinePunct/>
        <w:autoSpaceDE/>
        <w:autoSpaceDN/>
        <w:spacing w:beforeLines="0" w:afterLines="0" w:line="560" w:lineRule="exact"/>
        <w:ind w:firstLine="616" w:firstLineChars="200"/>
        <w:rPr>
          <w:rFonts w:hint="default" w:ascii="Times New Roman Regular" w:hAnsi="Times New Roman Regular" w:eastAsia="仿宋_GB2312" w:cs="Times New Roman Regular"/>
          <w:sz w:val="32"/>
          <w:szCs w:val="32"/>
          <w:lang w:eastAsia="zh-CN"/>
        </w:rPr>
      </w:pPr>
      <w:r>
        <w:rPr>
          <w:rFonts w:hint="eastAsia" w:ascii="Times New Roman Regular" w:hAnsi="Times New Roman Regular" w:eastAsia="仿宋_GB2312" w:cs="Times New Roman Regular"/>
          <w:sz w:val="32"/>
          <w:szCs w:val="32"/>
          <w:lang w:eastAsia="zh-CN"/>
        </w:rPr>
        <w:t>指园区内各类电储能系统可存储的最大电能量占园区日均用电量的比例，即：</w:t>
      </w:r>
    </w:p>
    <w:p w14:paraId="05C78016">
      <w:pPr>
        <w:topLinePunct/>
        <w:autoSpaceDE/>
        <w:autoSpaceDN/>
        <w:spacing w:beforeLines="0" w:afterLines="0" w:line="560" w:lineRule="exact"/>
        <w:jc w:val="center"/>
        <w:rPr>
          <w:rFonts w:hint="default" w:ascii="Times New Roman Regular" w:hAnsi="Times New Roman Regular" w:eastAsia="仿宋_GB2312" w:cs="Times New Roman Regular"/>
          <w:sz w:val="32"/>
          <w:szCs w:val="32"/>
          <w:lang w:eastAsia="zh-CN"/>
        </w:rPr>
      </w:pPr>
      <w:r>
        <w:rPr>
          <w:rFonts w:hint="default" w:ascii="Times New Roman Regular" w:hAnsi="Times New Roman Regular" w:eastAsia="仿宋_GB2312" w:cs="Times New Roman Regular"/>
          <w:sz w:val="32"/>
          <w:szCs w:val="32"/>
        </w:rPr>
        <w:drawing>
          <wp:anchor distT="0" distB="0" distL="114300" distR="114300" simplePos="0" relativeHeight="251659264" behindDoc="0" locked="0" layoutInCell="1" allowOverlap="1">
            <wp:simplePos x="0" y="0"/>
            <wp:positionH relativeFrom="column">
              <wp:posOffset>1843405</wp:posOffset>
            </wp:positionH>
            <wp:positionV relativeFrom="paragraph">
              <wp:posOffset>-203200</wp:posOffset>
            </wp:positionV>
            <wp:extent cx="2057400" cy="489585"/>
            <wp:effectExtent l="0" t="0" r="0" b="5715"/>
            <wp:wrapSquare wrapText="bothSides"/>
            <wp:docPr id="1" name="IM 26"/>
            <wp:cNvGraphicFramePr/>
            <a:graphic xmlns:a="http://schemas.openxmlformats.org/drawingml/2006/main">
              <a:graphicData uri="http://schemas.openxmlformats.org/drawingml/2006/picture">
                <pic:pic xmlns:pic="http://schemas.openxmlformats.org/drawingml/2006/picture">
                  <pic:nvPicPr>
                    <pic:cNvPr id="1" name="IM 26"/>
                    <pic:cNvPicPr/>
                  </pic:nvPicPr>
                  <pic:blipFill>
                    <a:blip r:embed="rId6"/>
                    <a:stretch>
                      <a:fillRect/>
                    </a:stretch>
                  </pic:blipFill>
                  <pic:spPr>
                    <a:xfrm>
                      <a:off x="0" y="0"/>
                      <a:ext cx="2057400" cy="489585"/>
                    </a:xfrm>
                    <a:prstGeom prst="rect">
                      <a:avLst/>
                    </a:prstGeom>
                    <a:noFill/>
                    <a:ln>
                      <a:noFill/>
                    </a:ln>
                  </pic:spPr>
                </pic:pic>
              </a:graphicData>
            </a:graphic>
          </wp:anchor>
        </w:drawing>
      </w:r>
    </w:p>
    <w:p w14:paraId="725AB0D0">
      <w:pPr>
        <w:pStyle w:val="6"/>
        <w:topLinePunct/>
        <w:autoSpaceDE/>
        <w:autoSpaceDN/>
        <w:spacing w:beforeLines="0" w:afterLines="0" w:line="560" w:lineRule="exact"/>
        <w:ind w:firstLine="536" w:firstLineChars="200"/>
        <w:rPr>
          <w:rFonts w:hint="default" w:ascii="Times New Roman Regular" w:hAnsi="Times New Roman Regular" w:eastAsia="仿宋_GB2312" w:cs="Times New Roman Regular"/>
          <w:sz w:val="28"/>
          <w:szCs w:val="28"/>
          <w:lang w:eastAsia="zh-CN"/>
        </w:rPr>
      </w:pPr>
      <w:r>
        <w:rPr>
          <w:rFonts w:hint="eastAsia" w:ascii="Times New Roman Regular" w:hAnsi="Times New Roman Regular" w:eastAsia="仿宋_GB2312" w:cs="Times New Roman Regular"/>
          <w:sz w:val="28"/>
          <w:szCs w:val="28"/>
          <w:lang w:eastAsia="zh-CN"/>
        </w:rPr>
        <w:t>式中：</w:t>
      </w:r>
    </w:p>
    <w:p w14:paraId="3CA876BC">
      <w:pPr>
        <w:pStyle w:val="6"/>
        <w:topLinePunct/>
        <w:autoSpaceDE/>
        <w:autoSpaceDN/>
        <w:spacing w:beforeLines="0" w:afterLines="0" w:line="560" w:lineRule="exact"/>
        <w:ind w:firstLine="536" w:firstLineChars="200"/>
        <w:rPr>
          <w:rFonts w:hint="default" w:ascii="Times New Roman Regular" w:hAnsi="Times New Roman Regular" w:eastAsia="仿宋_GB2312" w:cs="Times New Roman Regular"/>
          <w:sz w:val="28"/>
          <w:szCs w:val="28"/>
          <w:lang w:eastAsia="zh-CN"/>
        </w:rPr>
      </w:pPr>
      <w:r>
        <w:rPr>
          <w:rFonts w:hint="default" w:ascii="Times New Roman Regular" w:hAnsi="Times New Roman Regular" w:eastAsia="仿宋_GB2312" w:cs="Times New Roman Regular"/>
          <w:sz w:val="28"/>
          <w:szCs w:val="28"/>
          <w:lang w:eastAsia="zh-CN"/>
        </w:rPr>
        <w:t>R</w:t>
      </w:r>
      <w:r>
        <w:rPr>
          <w:rFonts w:hint="eastAsia" w:ascii="Times New Roman Regular" w:hAnsi="Times New Roman Regular" w:eastAsia="仿宋_GB2312" w:cs="Times New Roman Regular"/>
          <w:sz w:val="28"/>
          <w:szCs w:val="28"/>
          <w:vertAlign w:val="subscript"/>
          <w:lang w:eastAsia="zh-CN"/>
        </w:rPr>
        <w:t>储能</w:t>
      </w:r>
      <w:r>
        <w:rPr>
          <w:rFonts w:hint="eastAsia" w:ascii="Times New Roman Regular" w:hAnsi="Times New Roman Regular" w:eastAsia="仿宋_GB2312" w:cs="Times New Roman Regular"/>
          <w:sz w:val="28"/>
          <w:szCs w:val="28"/>
          <w:lang w:eastAsia="zh-CN"/>
        </w:rPr>
        <w:t>为园区内储能容量占园区日均用电量</w:t>
      </w:r>
      <w:r>
        <w:rPr>
          <w:rFonts w:hint="eastAsia" w:ascii="Times New Roman" w:hAnsi="Times New Roman" w:eastAsia="仿宋_GB2312" w:cs="Times New Roman"/>
          <w:sz w:val="28"/>
          <w:szCs w:val="28"/>
          <w:lang w:eastAsia="zh-CN"/>
        </w:rPr>
        <w:t>的比例（%）；</w:t>
      </w:r>
    </w:p>
    <w:p w14:paraId="5D01FCD3">
      <w:pPr>
        <w:pStyle w:val="6"/>
        <w:topLinePunct/>
        <w:autoSpaceDE/>
        <w:autoSpaceDN/>
        <w:spacing w:beforeLines="0" w:afterLines="0" w:line="560" w:lineRule="exact"/>
        <w:ind w:firstLine="536" w:firstLineChars="200"/>
        <w:rPr>
          <w:rFonts w:hint="default" w:ascii="Times New Roman Regular" w:hAnsi="Times New Roman Regular" w:eastAsia="仿宋_GB2312" w:cs="Times New Roman Regular"/>
          <w:sz w:val="28"/>
          <w:szCs w:val="28"/>
          <w:lang w:eastAsia="zh-CN"/>
        </w:rPr>
      </w:pPr>
      <w:r>
        <w:rPr>
          <w:rFonts w:hint="default" w:ascii="Times New Roman Regular" w:hAnsi="Times New Roman Regular" w:eastAsia="仿宋_GB2312" w:cs="Times New Roman Regular"/>
          <w:sz w:val="28"/>
          <w:szCs w:val="28"/>
          <w:lang w:eastAsia="zh-CN"/>
        </w:rPr>
        <w:t>E</w:t>
      </w:r>
      <w:r>
        <w:rPr>
          <w:rFonts w:hint="eastAsia" w:ascii="Times New Roman Regular" w:hAnsi="Times New Roman Regular" w:eastAsia="仿宋_GB2312" w:cs="Times New Roman Regular"/>
          <w:sz w:val="28"/>
          <w:szCs w:val="28"/>
          <w:vertAlign w:val="subscript"/>
          <w:lang w:eastAsia="zh-CN"/>
        </w:rPr>
        <w:t>电力</w:t>
      </w:r>
      <w:r>
        <w:rPr>
          <w:rFonts w:hint="eastAsia" w:ascii="Times New Roman Regular" w:hAnsi="Times New Roman Regular" w:eastAsia="仿宋_GB2312" w:cs="Times New Roman Regular"/>
          <w:sz w:val="28"/>
          <w:szCs w:val="28"/>
          <w:lang w:eastAsia="zh-CN"/>
        </w:rPr>
        <w:t>为年电力消费总量（万千瓦时）；</w:t>
      </w:r>
    </w:p>
    <w:p w14:paraId="1115233C">
      <w:pPr>
        <w:pStyle w:val="6"/>
        <w:topLinePunct/>
        <w:autoSpaceDE/>
        <w:autoSpaceDN/>
        <w:spacing w:beforeLines="0" w:afterLines="0" w:line="560" w:lineRule="exact"/>
        <w:ind w:firstLine="536" w:firstLineChars="200"/>
        <w:jc w:val="both"/>
        <w:rPr>
          <w:rFonts w:hint="default" w:ascii="Times New Roman Regular" w:hAnsi="Times New Roman Regular" w:eastAsia="仿宋_GB2312" w:cs="Times New Roman Regular"/>
          <w:sz w:val="28"/>
          <w:szCs w:val="28"/>
          <w:lang w:eastAsia="zh-CN"/>
        </w:rPr>
      </w:pPr>
      <w:r>
        <w:rPr>
          <w:rFonts w:hint="default" w:ascii="Times New Roman Regular" w:hAnsi="Times New Roman Regular" w:eastAsia="仿宋_GB2312" w:cs="Times New Roman Regular"/>
          <w:sz w:val="28"/>
          <w:szCs w:val="28"/>
          <w:lang w:eastAsia="zh-CN"/>
        </w:rPr>
        <w:t>C</w:t>
      </w:r>
      <w:r>
        <w:rPr>
          <w:rFonts w:hint="eastAsia" w:ascii="Times New Roman Regular" w:hAnsi="Times New Roman Regular" w:eastAsia="仿宋_GB2312" w:cs="Times New Roman Regular"/>
          <w:sz w:val="28"/>
          <w:szCs w:val="28"/>
          <w:vertAlign w:val="subscript"/>
          <w:lang w:eastAsia="zh-CN"/>
        </w:rPr>
        <w:t>储能</w:t>
      </w:r>
      <w:r>
        <w:rPr>
          <w:rFonts w:hint="eastAsia" w:ascii="Times New Roman Regular" w:hAnsi="Times New Roman Regular" w:eastAsia="仿宋_GB2312" w:cs="Times New Roman Regular"/>
          <w:sz w:val="28"/>
          <w:szCs w:val="28"/>
          <w:lang w:eastAsia="zh-CN"/>
        </w:rPr>
        <w:t>为园区内各类电储能系统可存储的最大电能量，按照满充情况下最大放电量计算，单位为千瓦时。电储能类型主要包括锂电池、液流电池、压缩空气、飞轮等存储能量类型与释放能量类型均为电力的储能设施。</w:t>
      </w:r>
    </w:p>
    <w:p w14:paraId="560DD62D">
      <w:pPr>
        <w:pStyle w:val="5"/>
        <w:keepNext w:val="0"/>
        <w:keepLines w:val="0"/>
        <w:topLinePunct/>
        <w:autoSpaceDE/>
        <w:autoSpaceDN/>
        <w:adjustRightInd/>
        <w:snapToGrid/>
        <w:spacing w:before="0" w:beforeLines="0" w:after="0" w:afterLines="0" w:line="560" w:lineRule="exact"/>
        <w:ind w:firstLine="619"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9.本地可再生能源消费占比</w:t>
      </w:r>
    </w:p>
    <w:p w14:paraId="495537C9">
      <w:pPr>
        <w:topLinePunct/>
        <w:autoSpaceDE/>
        <w:autoSpaceDN/>
        <w:adjustRightInd/>
        <w:snapToGrid/>
        <w:spacing w:beforeLines="0" w:afterLines="0" w:line="560" w:lineRule="exact"/>
        <w:ind w:firstLine="616" w:firstLineChars="200"/>
        <w:textAlignment w:val="auto"/>
        <w:rPr>
          <w:rFonts w:hint="eastAsia" w:ascii="仿宋_GB2312" w:hAnsi="仿宋_GB2312" w:eastAsia="仿宋_GB2312" w:cs="仿宋_GB2312"/>
          <w:strike/>
          <w:sz w:val="32"/>
          <w:szCs w:val="32"/>
          <w:lang w:eastAsia="zh-CN"/>
        </w:rPr>
      </w:pPr>
      <w:r>
        <w:rPr>
          <w:rFonts w:hint="eastAsia" w:ascii="仿宋_GB2312" w:hAnsi="仿宋_GB2312" w:eastAsia="仿宋_GB2312" w:cs="仿宋_GB2312"/>
          <w:sz w:val="32"/>
          <w:szCs w:val="32"/>
          <w:lang w:eastAsia="zh-CN"/>
        </w:rPr>
        <w:t>指园区开发利用的可再生能源（电力、热力、燃料等）在本地终端能源总消费中所占的百分比。</w:t>
      </w:r>
    </w:p>
    <w:p w14:paraId="281C59FC">
      <w:pPr>
        <w:pStyle w:val="5"/>
        <w:keepNext w:val="0"/>
        <w:keepLines w:val="0"/>
        <w:numPr>
          <w:ilvl w:val="0"/>
          <w:numId w:val="0"/>
        </w:numPr>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bidi="ar"/>
        </w:rPr>
      </w:pPr>
      <w:r>
        <w:rPr>
          <w:rFonts w:hint="eastAsia" w:ascii="楷体_GB2312" w:hAnsi="楷体_GB2312" w:eastAsia="楷体_GB2312" w:cs="楷体_GB2312"/>
          <w:sz w:val="32"/>
          <w:szCs w:val="32"/>
          <w:lang w:eastAsia="zh-CN" w:bidi="ar"/>
        </w:rPr>
        <w:t>10.可再生电力消费占比</w:t>
      </w:r>
    </w:p>
    <w:p w14:paraId="434E3733">
      <w:pPr>
        <w:pStyle w:val="6"/>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指园区可再生电力消费量（光伏、风电、生物质发电等）与园区用电总量之比。可再生电力消费量来源为经主管部门审核的可再生能源消费凭证（含省间绿电购买凭证、自建光伏消纳凭证等）。</w:t>
      </w:r>
    </w:p>
    <w:p w14:paraId="7BAEAC4B">
      <w:pPr>
        <w:pStyle w:val="5"/>
        <w:keepNext w:val="0"/>
        <w:keepLines w:val="0"/>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b/>
          <w:color w:val="auto"/>
          <w:sz w:val="32"/>
          <w:szCs w:val="32"/>
          <w:lang w:eastAsia="zh-CN" w:bidi="ar"/>
        </w:rPr>
      </w:pPr>
      <w:r>
        <w:rPr>
          <w:rFonts w:hint="eastAsia" w:ascii="楷体_GB2312" w:hAnsi="楷体_GB2312" w:eastAsia="楷体_GB2312" w:cs="楷体_GB2312"/>
          <w:color w:val="auto"/>
          <w:sz w:val="32"/>
          <w:szCs w:val="32"/>
          <w:lang w:eastAsia="zh-CN" w:bidi="ar"/>
        </w:rPr>
        <w:t>11.终端电气化率</w:t>
      </w:r>
    </w:p>
    <w:p w14:paraId="74E54E81">
      <w:pPr>
        <w:pStyle w:val="6"/>
        <w:topLinePunct/>
        <w:autoSpaceDE/>
        <w:autoSpaceDN/>
        <w:spacing w:beforeLines="0" w:afterLines="0" w:line="560" w:lineRule="exact"/>
        <w:ind w:firstLine="596" w:firstLineChars="200"/>
        <w:rPr>
          <w:rFonts w:hint="eastAsia" w:ascii="仿宋_GB2312" w:hAnsi="仿宋_GB2312" w:eastAsia="仿宋_GB2312" w:cs="仿宋_GB2312"/>
          <w:sz w:val="31"/>
          <w:szCs w:val="31"/>
          <w:lang w:eastAsia="zh-CN"/>
        </w:rPr>
      </w:pPr>
      <w:r>
        <w:rPr>
          <w:rFonts w:hint="eastAsia" w:ascii="仿宋_GB2312" w:hAnsi="仿宋_GB2312" w:eastAsia="仿宋_GB2312" w:cs="仿宋_GB2312"/>
          <w:sz w:val="31"/>
          <w:szCs w:val="31"/>
          <w:lang w:eastAsia="zh-CN"/>
        </w:rPr>
        <w:t>指园区电力消费能耗与园区年综合能源消费量的比例，按</w:t>
      </w:r>
      <w:r>
        <w:rPr>
          <w:rFonts w:hint="eastAsia" w:ascii="仿宋_GB2312" w:hAnsi="仿宋_GB2312" w:eastAsia="仿宋_GB2312" w:cs="仿宋_GB2312"/>
          <w:position w:val="2"/>
          <w:sz w:val="32"/>
          <w:szCs w:val="32"/>
          <w:lang w:eastAsia="zh-CN"/>
        </w:rPr>
        <w:t>电力等价值计算。</w:t>
      </w:r>
    </w:p>
    <w:p w14:paraId="071712CF">
      <w:pPr>
        <w:pStyle w:val="5"/>
        <w:keepNext w:val="0"/>
        <w:keepLines w:val="0"/>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12.企业开展产品碳足迹标识认证占比</w:t>
      </w:r>
    </w:p>
    <w:p w14:paraId="510F3495">
      <w:pPr>
        <w:pStyle w:val="6"/>
        <w:topLinePunct/>
        <w:autoSpaceDE/>
        <w:autoSpaceDN/>
        <w:spacing w:beforeLines="0" w:afterLines="0" w:line="560" w:lineRule="exact"/>
        <w:ind w:firstLine="616"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指开展产品碳足迹标识认证工作的园区企业数量占园区企业总数的比例。</w:t>
      </w:r>
    </w:p>
    <w:p w14:paraId="1E142C28">
      <w:pPr>
        <w:pStyle w:val="5"/>
        <w:keepNext w:val="0"/>
        <w:keepLines w:val="0"/>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13.能碳智慧管理平台对园区企业的覆盖范围</w:t>
      </w:r>
    </w:p>
    <w:p w14:paraId="30A9BEAD">
      <w:pPr>
        <w:pStyle w:val="6"/>
        <w:topLinePunct/>
        <w:autoSpaceDE/>
        <w:autoSpaceDN/>
        <w:spacing w:beforeLines="0" w:afterLines="0" w:line="560" w:lineRule="exact"/>
        <w:ind w:firstLine="616"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指能碳智慧管理平台覆盖的园区企业数量占园区企业总数的比例。</w:t>
      </w:r>
    </w:p>
    <w:p w14:paraId="0CA8AADA">
      <w:pPr>
        <w:pStyle w:val="5"/>
        <w:keepNext w:val="0"/>
        <w:keepLines w:val="0"/>
        <w:numPr>
          <w:ilvl w:val="0"/>
          <w:numId w:val="0"/>
        </w:numPr>
        <w:topLinePunct/>
        <w:autoSpaceDE/>
        <w:autoSpaceDN/>
        <w:adjustRightInd/>
        <w:spacing w:before="0" w:beforeLines="0" w:after="0" w:afterLines="0" w:line="560" w:lineRule="exact"/>
        <w:ind w:firstLine="619" w:firstLineChars="200"/>
        <w:rPr>
          <w:rFonts w:hint="eastAsia" w:ascii="楷体_GB2312" w:hAnsi="楷体_GB2312" w:eastAsia="楷体_GB2312" w:cs="楷体_GB2312"/>
          <w:sz w:val="32"/>
          <w:szCs w:val="32"/>
          <w:lang w:eastAsia="zh-CN" w:bidi="ar"/>
        </w:rPr>
      </w:pPr>
      <w:r>
        <w:rPr>
          <w:rFonts w:hint="eastAsia" w:ascii="楷体_GB2312" w:hAnsi="楷体_GB2312" w:eastAsia="楷体_GB2312" w:cs="楷体_GB2312"/>
          <w:color w:val="auto"/>
          <w:sz w:val="32"/>
          <w:szCs w:val="32"/>
          <w:lang w:eastAsia="zh-CN" w:bidi="ar"/>
        </w:rPr>
        <w:t>14.纳入国家能源领域首台（套）重大技术装备名单的数量</w:t>
      </w:r>
    </w:p>
    <w:p w14:paraId="4A9AD279">
      <w:pPr>
        <w:pStyle w:val="6"/>
        <w:topLinePunct/>
        <w:autoSpaceDE/>
        <w:autoSpaceDN/>
        <w:adjustRightInd/>
        <w:snapToGrid/>
        <w:spacing w:beforeLines="0" w:afterLines="0" w:line="560" w:lineRule="exact"/>
        <w:ind w:firstLine="616" w:firstLineChars="200"/>
        <w:textAlignment w:val="auto"/>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color w:val="auto"/>
          <w:sz w:val="32"/>
          <w:szCs w:val="32"/>
          <w:lang w:eastAsia="zh-CN"/>
        </w:rPr>
        <w:t>指</w:t>
      </w:r>
      <w:r>
        <w:rPr>
          <w:rFonts w:hint="eastAsia" w:ascii="仿宋_GB2312" w:hAnsi="仿宋_GB2312" w:eastAsia="仿宋_GB2312" w:cs="仿宋_GB2312"/>
          <w:sz w:val="32"/>
          <w:szCs w:val="32"/>
          <w:lang w:eastAsia="zh-CN" w:bidi="ar"/>
        </w:rPr>
        <w:t>纳入国家能源局公示的能源领域</w:t>
      </w:r>
      <w:r>
        <w:rPr>
          <w:rFonts w:hint="eastAsia" w:ascii="Times New Roman Regular" w:hAnsi="Times New Roman Regular" w:eastAsia="仿宋_GB2312" w:cs="Times New Roman Regular"/>
          <w:sz w:val="32"/>
          <w:szCs w:val="32"/>
          <w:lang w:eastAsia="zh-CN" w:bidi="ar"/>
        </w:rPr>
        <w:t>首台（套）重大技术装备名单的数量。</w:t>
      </w:r>
    </w:p>
    <w:p w14:paraId="1B7C39B5"/>
    <w:p w14:paraId="789DD5B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imes New Roman Regular">
    <w:altName w:val="Times"/>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Times">
    <w:altName w:val="CG Times"/>
    <w:panose1 w:val="00000000000000000000"/>
    <w:charset w:val="00"/>
    <w:family w:val="auto"/>
    <w:pitch w:val="default"/>
    <w:sig w:usb0="00000000" w:usb1="00000000" w:usb2="00000000" w:usb3="00000000" w:csb0="00000000" w:csb1="00000000"/>
  </w:font>
  <w:font w:name="CG Times">
    <w:panose1 w:val="02020603050405020304"/>
    <w:charset w:val="00"/>
    <w:family w:val="auto"/>
    <w:pitch w:val="default"/>
    <w:sig w:usb0="00000007"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2149D"/>
    <w:multiLevelType w:val="multilevel"/>
    <w:tmpl w:val="9362149D"/>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735CF7"/>
    <w:rsid w:val="09735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paragraph" w:styleId="2">
    <w:name w:val="heading 1"/>
    <w:basedOn w:val="1"/>
    <w:next w:val="1"/>
    <w:unhideWhenUsed/>
    <w:qFormat/>
    <w:uiPriority w:val="0"/>
    <w:pPr>
      <w:keepNext/>
      <w:keepLines/>
      <w:spacing w:before="340" w:beforeLines="0" w:after="330" w:afterLines="0" w:line="576" w:lineRule="auto"/>
      <w:outlineLvl w:val="0"/>
    </w:pPr>
    <w:rPr>
      <w:rFonts w:hint="default"/>
      <w:b/>
      <w:kern w:val="44"/>
      <w:sz w:val="44"/>
      <w:szCs w:val="21"/>
    </w:rPr>
  </w:style>
  <w:style w:type="paragraph" w:styleId="3">
    <w:name w:val="heading 2"/>
    <w:basedOn w:val="1"/>
    <w:next w:val="1"/>
    <w:unhideWhenUsed/>
    <w:qFormat/>
    <w:uiPriority w:val="0"/>
    <w:pPr>
      <w:keepNext/>
      <w:keepLines/>
      <w:spacing w:before="260" w:beforeLines="0" w:after="260" w:afterLines="0" w:line="413" w:lineRule="auto"/>
      <w:outlineLvl w:val="1"/>
    </w:pPr>
    <w:rPr>
      <w:rFonts w:hint="default" w:eastAsia="黑体"/>
      <w:b/>
      <w:sz w:val="32"/>
      <w:szCs w:val="21"/>
    </w:rPr>
  </w:style>
  <w:style w:type="paragraph" w:styleId="4">
    <w:name w:val="heading 3"/>
    <w:basedOn w:val="1"/>
    <w:next w:val="1"/>
    <w:unhideWhenUsed/>
    <w:qFormat/>
    <w:uiPriority w:val="0"/>
    <w:pPr>
      <w:keepNext/>
      <w:keepLines/>
      <w:spacing w:before="260" w:beforeLines="0" w:after="260" w:afterLines="0" w:line="413" w:lineRule="auto"/>
      <w:outlineLvl w:val="2"/>
    </w:pPr>
    <w:rPr>
      <w:rFonts w:hint="default"/>
      <w:b/>
      <w:sz w:val="32"/>
      <w:szCs w:val="21"/>
    </w:rPr>
  </w:style>
  <w:style w:type="paragraph" w:styleId="5">
    <w:name w:val="heading 4"/>
    <w:basedOn w:val="1"/>
    <w:next w:val="1"/>
    <w:unhideWhenUsed/>
    <w:qFormat/>
    <w:uiPriority w:val="0"/>
    <w:pPr>
      <w:keepNext/>
      <w:keepLines/>
      <w:spacing w:before="280" w:beforeLines="0" w:after="290" w:afterLines="0" w:line="372" w:lineRule="auto"/>
      <w:outlineLvl w:val="3"/>
    </w:pPr>
    <w:rPr>
      <w:rFonts w:hint="default" w:eastAsia="黑体"/>
      <w:b/>
      <w:sz w:val="28"/>
      <w:szCs w:val="21"/>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Body Text"/>
    <w:basedOn w:val="1"/>
    <w:unhideWhenUsed/>
    <w:qFormat/>
    <w:uiPriority w:val="0"/>
    <w:pPr>
      <w:spacing w:beforeLines="0" w:afterLines="0"/>
    </w:pPr>
    <w:rPr>
      <w:rFonts w:hint="eastAsia" w:ascii="仿宋" w:hAnsi="仿宋" w:eastAsia="仿宋" w:cs="仿宋"/>
      <w:sz w:val="31"/>
      <w:szCs w:val="31"/>
    </w:rPr>
  </w:style>
  <w:style w:type="paragraph" w:customStyle="1" w:styleId="9">
    <w:name w:val="Table Text"/>
    <w:basedOn w:val="1"/>
    <w:unhideWhenUsed/>
    <w:qFormat/>
    <w:uiPriority w:val="0"/>
    <w:pPr>
      <w:spacing w:beforeLines="0" w:afterLines="0"/>
    </w:pPr>
    <w:rPr>
      <w:rFonts w:hint="eastAsia" w:ascii="宋体" w:hAnsi="宋体" w:eastAsia="宋体" w:cs="宋体"/>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2026-09-09T09:02:00Z</dcterms:created>
  <dc:creator>douzy</dc:creator>
  <cp:lastModifiedBy>douzy</cp:lastModifiedBy>
  <dcterms:modified xsi:type="dcterms:W3CDTF">2026-09-09T09:03:16Z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71CA9553EAD24AEF93DE07C00C879DD2_11</vt:lpwstr>
  </property>
  <property fmtid="{D5CDD505-2E9C-101B-9397-08002B2CF9AE}" pid="4" name="KSOTemplateDocerSaveRecord">
    <vt:lpwstr>eyJoZGlkIjoiNGQyMTk4NmQ2OWNiYjc4M2JhOTcxOWUzNzRhNDA3M2EiLCJ1c2VySWQiOiI0OTcxODgxOTQifQ==</vt:lpwstr>
  </property>
</Properties>
</file>